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Une</w:t>
      </w:r>
      <w:r>
        <w:t xml:space="preserve"> </w:t>
      </w:r>
      <w:r>
        <w:t xml:space="preserve">ontologie</w:t>
      </w:r>
      <w:r>
        <w:t xml:space="preserve"> </w:t>
      </w:r>
      <w:r>
        <w:t xml:space="preserve">pour</w:t>
      </w:r>
      <w:r>
        <w:t xml:space="preserve"> </w:t>
      </w:r>
      <w:r>
        <w:t xml:space="preserve">aider</w:t>
      </w:r>
      <w:r>
        <w:t xml:space="preserve"> </w:t>
      </w:r>
      <w:r>
        <w:t xml:space="preserve">à</w:t>
      </w:r>
      <w:r>
        <w:t xml:space="preserve"> </w:t>
      </w:r>
      <w:r>
        <w:t xml:space="preserve">l’apprentissage</w:t>
      </w:r>
      <w:r>
        <w:t xml:space="preserve"> </w:t>
      </w:r>
      <w:r>
        <w:t xml:space="preserve">des</w:t>
      </w:r>
      <w:r>
        <w:t xml:space="preserve"> </w:t>
      </w:r>
      <w:r>
        <w:t xml:space="preserve">statistiques :</w:t>
      </w:r>
      <w:r>
        <w:t xml:space="preserve"> </w:t>
      </w:r>
      <w:r>
        <w:t xml:space="preserve">perspectives</w:t>
      </w:r>
      <w:r>
        <w:t xml:space="preserve"> </w:t>
      </w:r>
      <w:r>
        <w:t xml:space="preserve">et</w:t>
      </w:r>
      <w:r>
        <w:t xml:space="preserve"> </w:t>
      </w:r>
      <w:r>
        <w:t xml:space="preserve">challenges</w:t>
      </w:r>
    </w:p>
    <w:p>
      <w:pPr>
        <w:pStyle w:val="Author"/>
      </w:pPr>
      <w:r>
        <w:t xml:space="preserve">Jean-Marc</w:t>
      </w:r>
      <w:r>
        <w:t xml:space="preserve"> </w:t>
      </w:r>
      <w:r>
        <w:t xml:space="preserve">Meunier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S’agissant des statistiques, comme bien d’autres domaines, la quantité</w:t>
      </w:r>
      <w:r>
        <w:t xml:space="preserve"> </w:t>
      </w:r>
      <w:r>
        <w:t xml:space="preserve">de ressources pédagogiques libres ou éditoriales disponibles sur le web</w:t>
      </w:r>
      <w:r>
        <w:t xml:space="preserve"> </w:t>
      </w:r>
      <w:r>
        <w:t xml:space="preserve">est colossale. Pour s’en convaincre, il suffit de lancer sur un moteur</w:t>
      </w:r>
      <w:r>
        <w:t xml:space="preserve"> </w:t>
      </w:r>
      <w:r>
        <w:t xml:space="preserve">de recherche une requête pour trouver des centaines de ressources allant</w:t>
      </w:r>
      <w:r>
        <w:t xml:space="preserve"> </w:t>
      </w:r>
      <w:r>
        <w:t xml:space="preserve">de cours complets à des exercices ou des jeux de données sur lesquels</w:t>
      </w:r>
      <w:r>
        <w:t xml:space="preserve"> </w:t>
      </w:r>
      <w:r>
        <w:t xml:space="preserve">les enseignants peuvent élaborer de nouveau exercices et les étudiants</w:t>
      </w:r>
      <w:r>
        <w:t xml:space="preserve"> </w:t>
      </w:r>
      <w:r>
        <w:t xml:space="preserve">s’entraîner ou  parfaire leur compréhension des concepts. Cette</w:t>
      </w:r>
      <w:r>
        <w:t xml:space="preserve"> </w:t>
      </w:r>
      <w:r>
        <w:t xml:space="preserve">opportunité, tant pour l’apprenant que pour l’enseignant nécessite</w:t>
      </w:r>
      <w:r>
        <w:t xml:space="preserve"> </w:t>
      </w:r>
      <w:r>
        <w:t xml:space="preserve">cependant que ces deux types d’usagers possèdent un certain nombre de</w:t>
      </w:r>
      <w:r>
        <w:t xml:space="preserve"> </w:t>
      </w:r>
      <w:r>
        <w:t xml:space="preserve">compétences requises par ces nouveaux médias  pour s’orienter dans</w:t>
      </w:r>
      <w:r>
        <w:t xml:space="preserve"> </w:t>
      </w:r>
      <w:r>
        <w:t xml:space="preserve">toutes ces ressources et en tirer le meilleurs parti (Terras, Ramsay, and Boyle 2013).</w:t>
      </w:r>
      <w:r>
        <w:t xml:space="preserve"> </w:t>
      </w:r>
      <w:r>
        <w:t xml:space="preserve">  Ces compétences sont la capacité à chercher l’information,  à faire le</w:t>
      </w:r>
      <w:r>
        <w:t xml:space="preserve"> </w:t>
      </w:r>
      <w:r>
        <w:t xml:space="preserve">tri parmi les résultats de la recherche puis à extraire de ces documents</w:t>
      </w:r>
      <w:r>
        <w:t xml:space="preserve"> </w:t>
      </w:r>
      <w:r>
        <w:t xml:space="preserve">les éléments utiles et à les traiter pour développer ses connaissances</w:t>
      </w:r>
      <w:r>
        <w:t xml:space="preserve"> </w:t>
      </w:r>
      <w:r>
        <w:t xml:space="preserve">ou, lorsqu’on est enseignant, faciliter l’acquisition à ses étudiants.</w:t>
      </w:r>
      <w:r>
        <w:t xml:space="preserve"> </w:t>
      </w:r>
      <w:r>
        <w:t xml:space="preserve">Accessoirement ces habiletés supposent aussi des compétences à</w:t>
      </w:r>
      <w:r>
        <w:t xml:space="preserve"> </w:t>
      </w:r>
      <w:r>
        <w:t xml:space="preserve">communiquer sur le domaine objet de l’apprentissage entre étudiants,</w:t>
      </w:r>
      <w:r>
        <w:t xml:space="preserve"> </w:t>
      </w:r>
      <w:r>
        <w:t xml:space="preserve">entre enseignants ou entre étudiants et enseignants.  L’ensemble de ces</w:t>
      </w:r>
      <w:r>
        <w:t xml:space="preserve"> </w:t>
      </w:r>
      <w:r>
        <w:t xml:space="preserve">facteurs, disponibilités des ressources et nouvelles compétences</w:t>
      </w:r>
      <w:r>
        <w:t xml:space="preserve"> </w:t>
      </w:r>
      <w:r>
        <w:t xml:space="preserve">requises changent considérablement la façon d’appréhender</w:t>
      </w:r>
      <w:r>
        <w:t xml:space="preserve"> </w:t>
      </w:r>
      <w:r>
        <w:t xml:space="preserve">l’apprentissage et l’enseignement (Barnes 2007).  Ces nouvelles</w:t>
      </w:r>
      <w:r>
        <w:t xml:space="preserve"> </w:t>
      </w:r>
      <w:r>
        <w:t xml:space="preserve">façons de</w:t>
      </w:r>
      <w:r>
        <w:t xml:space="preserve"> </w:t>
      </w:r>
      <w:r>
        <w:t xml:space="preserve">“</w:t>
      </w:r>
      <w:r>
        <w:t xml:space="preserve">consommer</w:t>
      </w:r>
      <w:r>
        <w:t xml:space="preserve">”</w:t>
      </w:r>
      <w:r>
        <w:t xml:space="preserve"> </w:t>
      </w:r>
      <w:r>
        <w:t xml:space="preserve">les connaissances font passer l’apprenant d’une</w:t>
      </w:r>
      <w:r>
        <w:t xml:space="preserve"> </w:t>
      </w:r>
      <w:r>
        <w:t xml:space="preserve">position passive de réception à une position active de construction de</w:t>
      </w:r>
      <w:r>
        <w:t xml:space="preserve"> </w:t>
      </w:r>
      <w:r>
        <w:t xml:space="preserve">son savoir qui nécessite cependant un étayage (Vygotski et al. 2013) de la</w:t>
      </w:r>
      <w:r>
        <w:t xml:space="preserve"> </w:t>
      </w:r>
      <w:r>
        <w:t xml:space="preserve">part des enseignants et/ou de la part des dispositifs d’apprentissage</w:t>
      </w:r>
      <w:r>
        <w:t xml:space="preserve"> </w:t>
      </w:r>
      <w:r>
        <w:t xml:space="preserve">qu’il a conçu. L’apprentissage à l’aide des ressources éducatives libres</w:t>
      </w:r>
      <w:r>
        <w:t xml:space="preserve"> </w:t>
      </w:r>
      <w:r>
        <w:t xml:space="preserve">est de toute évidence une activité sociale comme en témoigne les</w:t>
      </w:r>
      <w:r>
        <w:t xml:space="preserve"> </w:t>
      </w:r>
      <w:r>
        <w:t xml:space="preserve">communautés d’échanges  sur des forums ou des réseaux sociaux.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A titre d’exemple, nous pouvons citer  le groupe</w:t>
      </w:r>
      <w:r>
        <w:t xml:space="preserve"> </w:t>
      </w:r>
      <w:r>
        <w:t xml:space="preserve">“</w:t>
      </w:r>
      <w:r>
        <w:t xml:space="preserve"> Research,</w:t>
      </w:r>
      <w:r>
        <w:t xml:space="preserve"> </w:t>
      </w:r>
      <w:r>
        <w:t xml:space="preserve">Methodology, and Statistics in the Social Sciences</w:t>
      </w:r>
      <w:r>
        <w:t xml:space="preserve"> </w:t>
      </w:r>
      <w:r>
        <w:t xml:space="preserve">”</w:t>
      </w:r>
      <w:r>
        <w:t xml:space="preserve"> </w:t>
      </w:r>
      <w:r>
        <w:t xml:space="preserve">sur Likedin qui</w:t>
      </w:r>
      <w:r>
        <w:t xml:space="preserve"> </w:t>
      </w:r>
      <w:r>
        <w:t xml:space="preserve">regroupent plus de 120 00 membres et dont l’objet est le partage</w:t>
      </w:r>
      <w:r>
        <w:t xml:space="preserve"> </w:t>
      </w:r>
      <w:r>
        <w:t xml:space="preserve">d’expertise entre des chercheurs et des étudiants.  Pour se repérer dans</w:t>
      </w:r>
      <w:r>
        <w:t xml:space="preserve"> </w:t>
      </w:r>
      <w:r>
        <w:t xml:space="preserve">cette masse de ressources, il est nécessaire de doter celles-ci d’une</w:t>
      </w:r>
      <w:r>
        <w:t xml:space="preserve"> </w:t>
      </w:r>
      <w:r>
        <w:t xml:space="preserve">sémantique qui puisse servir d’appui aux échanges et à la recherche de</w:t>
      </w:r>
      <w:r>
        <w:t xml:space="preserve"> </w:t>
      </w:r>
      <w:r>
        <w:t xml:space="preserve">ressources.  </w:t>
      </w:r>
    </w:p>
    <w:p>
      <w:pPr>
        <w:pStyle w:val="BodyText"/>
      </w:pPr>
      <w:r>
        <w:t xml:space="preserve">Par ailleurs, la représentation du dispositif de recherche constituent</w:t>
      </w:r>
      <w:r>
        <w:t xml:space="preserve"> </w:t>
      </w:r>
      <w:r>
        <w:t xml:space="preserve">également un facteur important. Ainsi Holman (2011) a montré que ces</w:t>
      </w:r>
      <w:r>
        <w:t xml:space="preserve"> </w:t>
      </w:r>
      <w:r>
        <w:t xml:space="preserve">stratégies de recherche sont par la représentation des relations que les</w:t>
      </w:r>
      <w:r>
        <w:t xml:space="preserve"> </w:t>
      </w:r>
      <w:r>
        <w:t xml:space="preserve">termes de la recherche entretiennent entre eux. (A développer).</w:t>
      </w:r>
      <w:r>
        <w:t xml:space="preserve"> </w:t>
      </w:r>
      <w:r>
        <w:t xml:space="preserve">L’alignement du dispositif sur les capacité cognitive de l’usager est</w:t>
      </w:r>
      <w:r>
        <w:t xml:space="preserve"> </w:t>
      </w:r>
      <w:r>
        <w:t xml:space="preserve"> une condition de son utilisation optimale.  (finir de lire Terras</w:t>
      </w:r>
      <w:r>
        <w:t xml:space="preserve"> </w:t>
      </w:r>
      <w:r>
        <w:t xml:space="preserve">2013).  chercher  de l’information sur internet est assimilable à une</w:t>
      </w:r>
      <w:r>
        <w:t xml:space="preserve"> </w:t>
      </w:r>
      <w:r>
        <w:t xml:space="preserve">activité de compréhension d’un texe (?)  Intégrer le texte de Barnes</w:t>
      </w:r>
      <w:r>
        <w:t xml:space="preserve"> </w:t>
      </w:r>
      <w:r>
        <w:t xml:space="preserve">2007 pour développer les différents aspects de la net génération.</w:t>
      </w:r>
    </w:p>
    <w:p>
      <w:pPr>
        <w:pStyle w:val="BodyText"/>
      </w:pPr>
      <w:r>
        <w:br w:type="textWrapping"/>
      </w:r>
      <w:r>
        <w:t xml:space="preserve">Recent findings indicate that reading skills mediate the selection of</w:t>
      </w:r>
      <w:r>
        <w:t xml:space="preserve"> </w:t>
      </w:r>
      <w:r>
        <w:t xml:space="preserve"> hyperlinks (Salmeron &amp; Garcia, 2011) and that semantic link selection</w:t>
      </w:r>
      <w:r>
        <w:t xml:space="preserve"> </w:t>
      </w:r>
      <w:r>
        <w:t xml:space="preserve">results in good inferential comprehension (Amadieu et al, 2009).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Heading1"/>
      </w:pPr>
      <w:bookmarkStart w:id="22" w:name="ontologie-et-structure-de-connaissances"/>
      <w:bookmarkEnd w:id="22"/>
      <w:r>
        <w:t xml:space="preserve">Ontologie et structure de</w:t>
      </w:r>
      <w:r>
        <w:t xml:space="preserve"> </w:t>
      </w:r>
      <w:r>
        <w:t xml:space="preserve">connaissances</w:t>
      </w:r>
    </w:p>
    <w:p>
      <w:pPr>
        <w:pStyle w:val="FirstParagraph"/>
      </w:pPr>
      <w:r>
        <w:t xml:space="preserve">Définition épistémologique cf bouzeghoub 2005</w:t>
      </w:r>
    </w:p>
    <w:p>
      <w:pPr>
        <w:pStyle w:val="Heading2"/>
      </w:pPr>
      <w:bookmarkStart w:id="23" w:name="définition-informatiqueontologie-et-vocabulaireles-différents-types-dontologie"/>
      <w:bookmarkEnd w:id="23"/>
      <w:r>
        <w:t xml:space="preserve">Définition informatiqueOntologie et vocabulaireLes</w:t>
      </w:r>
      <w:r>
        <w:t xml:space="preserve"> </w:t>
      </w:r>
      <w:r>
        <w:t xml:space="preserve">différents types</w:t>
      </w:r>
      <w:r>
        <w:t xml:space="preserve"> </w:t>
      </w:r>
      <w:r>
        <w:t xml:space="preserve">d’ontologie</w:t>
      </w:r>
    </w:p>
    <w:p>
      <w:pPr>
        <w:pStyle w:val="Heading1"/>
      </w:pPr>
      <w:bookmarkStart w:id="24" w:name="pourquoi-structurer-les-concepts-statistiques-dans-une-ontologie"/>
      <w:bookmarkEnd w:id="24"/>
      <w:r>
        <w:t xml:space="preserve">Pourquoi structurer les concepts statistiques dans une</w:t>
      </w:r>
      <w:r>
        <w:t xml:space="preserve"> </w:t>
      </w:r>
      <w:r>
        <w:t xml:space="preserve">ontologie ?</w:t>
      </w:r>
    </w:p>
    <w:p>
      <w:pPr>
        <w:pStyle w:val="Heading2"/>
      </w:pPr>
      <w:bookmarkStart w:id="25" w:name="prépondérance-du-but-voirbandalos-finney-and-geske-2003parce-que-la-structure-des-connaissances-de-lexpert-est-une-ontologie-de-concepts-pas-de-termes"/>
      <w:bookmarkEnd w:id="25"/>
      <w:r>
        <w:t xml:space="preserve">prépondérance du but (voir (Bandalos, Finney, and Geske 2003)Parce que la</w:t>
      </w:r>
      <w:r>
        <w:t xml:space="preserve"> </w:t>
      </w:r>
      <w:r>
        <w:t xml:space="preserve">structure des connaissances de l’expert est une ontologie de concepts</w:t>
      </w:r>
      <w:r>
        <w:t xml:space="preserve"> </w:t>
      </w:r>
      <w:r>
        <w:t xml:space="preserve">(pas de</w:t>
      </w:r>
      <w:r>
        <w:t xml:space="preserve"> </w:t>
      </w:r>
      <w:r>
        <w:t xml:space="preserve">termes)</w:t>
      </w:r>
    </w:p>
    <w:p>
      <w:pPr>
        <w:pStyle w:val="FirstParagraph"/>
      </w:pPr>
      <w:r>
        <w:br w:type="textWrapping"/>
      </w:r>
      <w:r>
        <w:t xml:space="preserve">Propriétés structurales vs propriétés fonctionnelles </w:t>
      </w:r>
    </w:p>
    <w:p>
      <w:pPr>
        <w:pStyle w:val="BodyText"/>
      </w:pPr>
      <w:r>
        <w:t xml:space="preserve">Souligner l’importance de la structuration de la connaissances pour la</w:t>
      </w:r>
      <w:r>
        <w:t xml:space="preserve"> </w:t>
      </w:r>
      <w:r>
        <w:t xml:space="preserve">résolution de problèmes. Théorie de la charge cognitive de Sweller : les</w:t>
      </w:r>
      <w:r>
        <w:t xml:space="preserve"> </w:t>
      </w:r>
      <w:r>
        <w:t xml:space="preserve">structures cognitives que sont les schémas permettent de libérer les</w:t>
      </w:r>
      <w:r>
        <w:t xml:space="preserve"> </w:t>
      </w:r>
      <w:r>
        <w:t xml:space="preserve">ressources cognitives et donc d’apprendre plus facilement</w:t>
      </w:r>
      <w:r>
        <w:t xml:space="preserve"> </w:t>
      </w:r>
      <w:r>
        <w:t xml:space="preserve">cf </w:t>
      </w:r>
      <w:hyperlink r:id="rId26">
        <w:r>
          <w:rPr>
            <w:rStyle w:val="Hyperlink"/>
          </w:rPr>
          <w:t xml:space="preserve">http://www.instructionaldesign.org/theories/cognitive-load.html</w:t>
        </w:r>
      </w:hyperlink>
    </w:p>
    <w:p>
      <w:pPr>
        <w:pStyle w:val="BodyText"/>
      </w:pPr>
      <w:r>
        <w:t xml:space="preserve">Exemple de travaux sur la</w:t>
      </w:r>
    </w:p>
    <w:p>
      <w:pPr>
        <w:pStyle w:val="BodyText"/>
      </w:pPr>
      <w:r>
        <w:t xml:space="preserve">structure des connaissances en statistiques</w:t>
      </w:r>
    </w:p>
    <w:p>
      <w:pPr>
        <w:pStyle w:val="Heading1"/>
      </w:pPr>
      <w:bookmarkStart w:id="27" w:name="en-quoi-cela-peut-il-aider-létudiant"/>
      <w:bookmarkEnd w:id="27"/>
      <w:r>
        <w:t xml:space="preserve">En quoi cela peut-il aider l’étudiant</w:t>
      </w:r>
      <w:r>
        <w:t xml:space="preserve"> </w:t>
      </w:r>
      <w:r>
        <w:t xml:space="preserve">?</w:t>
      </w:r>
    </w:p>
    <w:p>
      <w:pPr>
        <w:pStyle w:val="Heading2"/>
      </w:pPr>
      <w:bookmarkStart w:id="28" w:name="activités-élaboratives-et-collaborativeslévaluation-des-apprenantsmise-à-disposition-dune-base-de-connaissances-structurée-et-de-ressources-pédagogiquespersonnalisation-de-lenseignement"/>
      <w:bookmarkEnd w:id="28"/>
      <w:r>
        <w:t xml:space="preserve">Activités élaboratives et collaborativesL’évaluation des</w:t>
      </w:r>
      <w:r>
        <w:t xml:space="preserve"> </w:t>
      </w:r>
      <w:r>
        <w:t xml:space="preserve">apprenantsMise à disposition d’une base de connaissances structurée et</w:t>
      </w:r>
      <w:r>
        <w:t xml:space="preserve"> </w:t>
      </w:r>
      <w:r>
        <w:t xml:space="preserve">de  ressources pédagogiquesPersonnalisation de</w:t>
      </w:r>
      <w:r>
        <w:t xml:space="preserve"> </w:t>
      </w:r>
      <w:r>
        <w:t xml:space="preserve">l’enseignement</w:t>
      </w:r>
    </w:p>
    <w:p>
      <w:pPr>
        <w:pStyle w:val="Heading1"/>
      </w:pPr>
      <w:bookmarkStart w:id="29" w:name="en-quoi-cela-peut-il-aider-lenseignant"/>
      <w:bookmarkEnd w:id="29"/>
      <w:r>
        <w:t xml:space="preserve">En quoi cela peut-il aider l’enseignant</w:t>
      </w:r>
      <w:r>
        <w:t xml:space="preserve"> </w:t>
      </w:r>
      <w:r>
        <w:t xml:space="preserve">?</w:t>
      </w:r>
    </w:p>
    <w:p>
      <w:pPr>
        <w:pStyle w:val="Heading2"/>
      </w:pPr>
      <w:bookmarkStart w:id="30" w:name="le-design-de-cours-cf-concept-map-designdisposer-dune-base-de-connaissancespartage-de-ressources-indexation-sémantique-des-ressources"/>
      <w:bookmarkEnd w:id="30"/>
      <w:r>
        <w:t xml:space="preserve">Le design de cours cf concept map designDisposer d’une base</w:t>
      </w:r>
      <w:r>
        <w:t xml:space="preserve"> </w:t>
      </w:r>
      <w:r>
        <w:t xml:space="preserve">de connaissancesPartage de ressources ; Indexation sémantique des</w:t>
      </w:r>
      <w:r>
        <w:t xml:space="preserve"> </w:t>
      </w:r>
      <w:r>
        <w:t xml:space="preserve">ressources</w:t>
      </w:r>
    </w:p>
    <w:p>
      <w:pPr>
        <w:pStyle w:val="FirstParagraph"/>
      </w:pPr>
      <w:r>
        <w:t xml:space="preserve">L’utilisation des ontologies pour l’indexation des ressources</w:t>
      </w:r>
      <w:r>
        <w:t xml:space="preserve"> </w:t>
      </w:r>
      <w:r>
        <w:t xml:space="preserve">pédagogiques est un domaine de recherche qui se développe de plus en</w:t>
      </w:r>
      <w:r>
        <w:t xml:space="preserve"> </w:t>
      </w:r>
      <w:r>
        <w:t xml:space="preserve">plus car il permet à la fois de répondre à un certains nombres de</w:t>
      </w:r>
      <w:r>
        <w:t xml:space="preserve"> </w:t>
      </w:r>
      <w:r>
        <w:t xml:space="preserve">limitation des normes,  (Bouzeghoub and Elbyed, n.d.) mais pour donner du sens aux</w:t>
      </w:r>
      <w:r>
        <w:t xml:space="preserve"> </w:t>
      </w:r>
      <w:r>
        <w:t xml:space="preserve">ressources ainsi répertoriées et accompagner de nouveaux usages de ces</w:t>
      </w:r>
      <w:r>
        <w:t xml:space="preserve"> </w:t>
      </w:r>
      <w:r>
        <w:t xml:space="preserve">ressources.</w:t>
      </w:r>
    </w:p>
    <w:p>
      <w:pPr>
        <w:pStyle w:val="BodyText"/>
      </w:pPr>
      <w:r>
        <w:br w:type="textWrapping"/>
      </w:r>
      <w:r>
        <w:t xml:space="preserve">Les OER doivent être décrites par des métadonnées pour être</w:t>
      </w:r>
      <w:r>
        <w:t xml:space="preserve"> </w:t>
      </w:r>
      <w:r>
        <w:t xml:space="preserve">interopérables. Le premier est le LOM  et sa déclinaison française</w:t>
      </w:r>
      <w:r>
        <w:t xml:space="preserve"> </w:t>
      </w:r>
      <w:r>
        <w:t xml:space="preserve">LOM-FR. Ce standard est cependant complexe à utilisé er incomplet pour</w:t>
      </w:r>
      <w:r>
        <w:t xml:space="preserve"> </w:t>
      </w:r>
      <w:r>
        <w:t xml:space="preserve">la description sémantique les dépendances entre ressources. Le SCORM</w:t>
      </w:r>
      <w:r>
        <w:t xml:space="preserve"> </w:t>
      </w:r>
      <w:r>
        <w:t xml:space="preserve">propose un langge de srtucturation des composants. Ces standards ont</w:t>
      </w:r>
      <w:r>
        <w:t xml:space="preserve"> </w:t>
      </w:r>
      <w:r>
        <w:t xml:space="preserve">pour fonctions principales l’indexation pour la recherche mais pas sur</w:t>
      </w:r>
      <w:r>
        <w:t xml:space="preserve"> </w:t>
      </w:r>
      <w:r>
        <w:t xml:space="preserve">l’assemblage et l’adaptation des ressources.</w:t>
      </w:r>
    </w:p>
    <w:p>
      <w:pPr>
        <w:pStyle w:val="BodyText"/>
      </w:pPr>
      <w:r>
        <w:t xml:space="preserve">Les auteurs proposent une architecture basée sur trois modèles :</w:t>
      </w:r>
    </w:p>
    <w:p>
      <w:pPr>
        <w:numPr>
          <w:numId w:val="1001"/>
          <w:ilvl w:val="0"/>
        </w:numPr>
      </w:pPr>
      <w:r>
        <w:t xml:space="preserve">Celui du domaine grâce à une ontologie du domaine qui sert à indexer</w:t>
      </w:r>
      <w:r>
        <w:t xml:space="preserve"> </w:t>
      </w:r>
      <w:r>
        <w:t xml:space="preserve">sémantiquement les ressources et les apprenants.</w:t>
      </w:r>
    </w:p>
    <w:p>
      <w:pPr>
        <w:numPr>
          <w:numId w:val="1001"/>
          <w:ilvl w:val="0"/>
        </w:numPr>
      </w:pPr>
      <w:r>
        <w:t xml:space="preserve">le modèle de l’apprenant  : informations factuelle et ses</w:t>
      </w:r>
      <w:r>
        <w:t xml:space="preserve"> </w:t>
      </w:r>
      <w:r>
        <w:t xml:space="preserve">connaissances, c’est-à-dire les concepts qu’il connait.</w:t>
      </w:r>
    </w:p>
    <w:p>
      <w:pPr>
        <w:numPr>
          <w:numId w:val="1001"/>
          <w:ilvl w:val="0"/>
        </w:numPr>
      </w:pPr>
      <w:r>
        <w:t xml:space="preserve">Le modèle de description des ressources avec les caractéristiques</w:t>
      </w:r>
      <w:r>
        <w:t xml:space="preserve"> </w:t>
      </w:r>
      <w:r>
        <w:t xml:space="preserve">éducatives (similaires à LOM et les caractéristiques sémantiques qui</w:t>
      </w:r>
      <w:r>
        <w:t xml:space="preserve"> </w:t>
      </w:r>
      <w:r>
        <w:t xml:space="preserve">se décline en trois composantes : prérequis, contenu et résultats</w:t>
      </w:r>
      <w:r>
        <w:t xml:space="preserve"> </w:t>
      </w:r>
      <w:r>
        <w:t xml:space="preserve">d’apprentisage (fonction d’acquisition selon les auteurs).</w:t>
      </w:r>
    </w:p>
    <w:p>
      <w:pPr>
        <w:pStyle w:val="FirstParagraph"/>
      </w:pPr>
      <w:r>
        <w:t xml:space="preserve">Une ressources peut être atomique ou complexe. Dans ce dernier cas, elle</w:t>
      </w:r>
      <w:r>
        <w:t xml:space="preserve"> </w:t>
      </w:r>
      <w:r>
        <w:t xml:space="preserve">peut être décrite par un graphe de composition expliquant comment sont</w:t>
      </w:r>
      <w:r>
        <w:t xml:space="preserve"> </w:t>
      </w:r>
      <w:r>
        <w:t xml:space="preserve">parcouru les composantes (séquentielle, alternative ou parallèlisme).</w:t>
      </w:r>
    </w:p>
    <w:p>
      <w:pPr>
        <w:pStyle w:val="BodyText"/>
      </w:pPr>
      <w:r>
        <w:t xml:space="preserve">Un langage d’interrogation SeRQL permet de naviguer dans les trois</w:t>
      </w:r>
      <w:r>
        <w:t xml:space="preserve"> </w:t>
      </w:r>
      <w:r>
        <w:t xml:space="preserve">modèles, de faire des inférences et de définir les les chemins</w:t>
      </w:r>
      <w:r>
        <w:t xml:space="preserve"> </w:t>
      </w:r>
      <w:r>
        <w:t xml:space="preserve">pertinents pour l’apprenant.</w:t>
      </w:r>
    </w:p>
    <w:p>
      <w:pPr>
        <w:pStyle w:val="Heading1"/>
      </w:pPr>
      <w:bookmarkStart w:id="31" w:name="challenges"/>
      <w:bookmarkEnd w:id="31"/>
      <w:r>
        <w:t xml:space="preserve">Challenges</w:t>
      </w:r>
    </w:p>
    <w:p>
      <w:pPr>
        <w:pStyle w:val="Heading2"/>
      </w:pPr>
      <w:bookmarkStart w:id="32" w:name="maintenir-traduire-et-étendre-lontologie"/>
      <w:bookmarkEnd w:id="32"/>
      <w:r>
        <w:t xml:space="preserve">Maintenir, traduire et étendre</w:t>
      </w:r>
      <w:r>
        <w:t xml:space="preserve"> </w:t>
      </w:r>
      <w:r>
        <w:t xml:space="preserve">l’ontologie</w:t>
      </w:r>
    </w:p>
    <w:p>
      <w:pPr>
        <w:pStyle w:val="FirstParagraph"/>
      </w:pPr>
      <w:r>
        <w:t xml:space="preserve">Raisonner sur l’ontologie</w:t>
      </w:r>
    </w:p>
    <w:p>
      <w:pPr>
        <w:pStyle w:val="BodyText"/>
      </w:pPr>
      <w:r>
        <w:t xml:space="preserve">Adaptative learning et recommandations de ressources</w:t>
      </w:r>
    </w:p>
    <w:p>
      <w:pPr>
        <w:pStyle w:val="BodyText"/>
      </w:pPr>
      <w:r>
        <w:t xml:space="preserve">Affiner notre connaissance de la structure de connaissances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3" w:name="references"/>
      <w:bookmarkEnd w:id="33"/>
      <w:r>
        <w:t xml:space="preserve">References</w:t>
      </w:r>
    </w:p>
    <w:p>
      <w:pPr>
        <w:pStyle w:val="FirstParagraph"/>
      </w:pPr>
      <w:r>
        <w:t xml:space="preserve">Terras, Melody M., Judith Ramsay, and Elizabeth Boyle. 2013.</w:t>
      </w:r>
      <w:r>
        <w:t xml:space="preserve"> </w:t>
      </w:r>
      <w:r>
        <w:t xml:space="preserve">“</w:t>
      </w:r>
      <w:r>
        <w:t xml:space="preserve">Learning and</w:t>
      </w:r>
      <w:r>
        <w:t xml:space="preserve"> </w:t>
      </w:r>
      <w:r>
        <w:t xml:space="preserve">Open</w:t>
      </w:r>
      <w:r>
        <w:t xml:space="preserve"> </w:t>
      </w:r>
      <w:r>
        <w:t xml:space="preserve">Educational</w:t>
      </w:r>
      <w:r>
        <w:t xml:space="preserve"> </w:t>
      </w:r>
      <w:r>
        <w:t xml:space="preserve">Resources</w:t>
      </w:r>
      <w:r>
        <w:t xml:space="preserve">:</w:t>
      </w:r>
      <w:r>
        <w:t xml:space="preserve"> </w:t>
      </w:r>
      <w:r>
        <w:t xml:space="preserve">A</w:t>
      </w:r>
      <w:r>
        <w:t xml:space="preserve"> </w:t>
      </w:r>
      <w:r>
        <w:t xml:space="preserve">Psychological</w:t>
      </w:r>
      <w:r>
        <w:t xml:space="preserve"> </w:t>
      </w:r>
      <w:r>
        <w:t xml:space="preserve">Perspective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E-Learning and Digital Media</w:t>
      </w:r>
      <w:r>
        <w:t xml:space="preserve"> </w:t>
      </w:r>
      <w:r>
        <w:t xml:space="preserve">10 (2): 161–73.</w:t>
      </w:r>
    </w:p>
    <w:p>
      <w:pPr>
        <w:pStyle w:val="BodyText"/>
      </w:pPr>
      <w:r>
        <w:t xml:space="preserve">Barnes, KassandraMarateo. 2007.</w:t>
      </w:r>
      <w:r>
        <w:t xml:space="preserve"> </w:t>
      </w:r>
      <w:r>
        <w:t xml:space="preserve">“</w:t>
      </w:r>
      <w:r>
        <w:t xml:space="preserve">Teaching and</w:t>
      </w:r>
      <w:r>
        <w:t xml:space="preserve"> </w:t>
      </w:r>
      <w:r>
        <w:t xml:space="preserve">Learning</w:t>
      </w:r>
      <w:r>
        <w:t xml:space="preserve"> </w:t>
      </w:r>
      <w:r>
        <w:t xml:space="preserve">with the</w:t>
      </w:r>
      <w:r>
        <w:t xml:space="preserve"> </w:t>
      </w:r>
      <w:r>
        <w:t xml:space="preserve">Net</w:t>
      </w:r>
      <w:r>
        <w:t xml:space="preserve"> </w:t>
      </w:r>
      <w:r>
        <w:t xml:space="preserve">Generation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Innovate: Journal of Online Education</w:t>
      </w:r>
      <w:r>
        <w:t xml:space="preserve"> </w:t>
      </w:r>
      <w:r>
        <w:t xml:space="preserve">3 (4).</w:t>
      </w:r>
    </w:p>
    <w:p>
      <w:pPr>
        <w:pStyle w:val="BodyText"/>
      </w:pPr>
      <w:r>
        <w:t xml:space="preserve">Vygotski, Lev-Sémionovitch, Jean Piaget, Lucien Sève, Yves Clot, and Françoise Sève. 2013.</w:t>
      </w:r>
      <w:r>
        <w:t xml:space="preserve"> </w:t>
      </w:r>
      <w:r>
        <w:rPr>
          <w:i/>
        </w:rPr>
        <w:t xml:space="preserve">Pensée Et Langage</w:t>
      </w:r>
      <w:r>
        <w:t xml:space="preserve">. 4E édition. Paris: La Dispute.</w:t>
      </w:r>
    </w:p>
    <w:p>
      <w:pPr>
        <w:pStyle w:val="BodyText"/>
      </w:pPr>
      <w:r>
        <w:t xml:space="preserve">Bandalos, Deborah L., Sara J. Finney, and Jenenne A. Geske. 2003.</w:t>
      </w:r>
      <w:r>
        <w:t xml:space="preserve"> </w:t>
      </w:r>
      <w:r>
        <w:t xml:space="preserve">“</w:t>
      </w:r>
      <w:r>
        <w:t xml:space="preserve">A Model of Statistics Performance Based on Achievement Goal Theory.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Educational Psychology</w:t>
      </w:r>
      <w:r>
        <w:t xml:space="preserve"> </w:t>
      </w:r>
      <w:r>
        <w:t xml:space="preserve">95 (3). American Psychological Association (</w:t>
      </w:r>
      <w:r>
        <w:t xml:space="preserve">APA</w:t>
      </w:r>
      <w:r>
        <w:t xml:space="preserve">): 604–16. doi:10.1037/0022-0663.95.3.604.</w:t>
      </w:r>
    </w:p>
    <w:p>
      <w:pPr>
        <w:pStyle w:val="BodyText"/>
      </w:pPr>
      <w:r>
        <w:t xml:space="preserve">Bouzeghoub, A., and A. Elbyed. n.d.</w:t>
      </w:r>
      <w:r>
        <w:t xml:space="preserve"> </w:t>
      </w:r>
      <w:r>
        <w:t xml:space="preserve">“</w:t>
      </w:r>
      <w:r>
        <w:t xml:space="preserve">An Ontology Mapping Algorithm to Share Learning Resources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2006 2nd International Conference on Information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Communication Technologies</w:t>
      </w:r>
      <w:r>
        <w:t xml:space="preserve">. Institute of Electrical and Electronics Engineers (</w:t>
      </w:r>
      <w:r>
        <w:t xml:space="preserve">IEEE</w:t>
      </w:r>
      <w:r>
        <w:t xml:space="preserve">). doi:10.1109/ictta.2006.1684442.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03407a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4b55dd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6" Target="http://www.instructionaldesign.org/theories/cognitive-load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://www.instructionaldesign.org/theories/cognitive-load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ontologie pour aider à l’apprentissage des statistiques : perspectives et challenges</dc:title>
  <dc:creator>Jean-Marc Meunier</dc:creator>
  <dcterms:created xsi:type="dcterms:W3CDTF">2018-11-26T11:42:58Z</dcterms:created>
  <dcterms:modified xsi:type="dcterms:W3CDTF">2018-11-26T11:42:58Z</dcterms:modified>
</cp:coreProperties>
</file>