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TENOFOVIR</w:t>
      </w:r>
      <w:r>
        <w:t xml:space="preserve"> </w:t>
      </w:r>
      <w:r>
        <w:t xml:space="preserve">INDUCED</w:t>
      </w:r>
      <w:r>
        <w:t xml:space="preserve"> </w:t>
      </w:r>
      <w:r>
        <w:t xml:space="preserve">FANCONI</w:t>
      </w:r>
      <w:r>
        <w:t xml:space="preserve"> </w:t>
      </w:r>
      <w:r>
        <w:t xml:space="preserve">SYNDROME</w:t>
      </w:r>
      <w:r>
        <w:t xml:space="preserve"> </w:t>
      </w:r>
      <w:r>
        <w:t xml:space="preserve">IN</w:t>
      </w:r>
      <w:r>
        <w:t xml:space="preserve"> </w:t>
      </w:r>
      <w:r>
        <w:t xml:space="preserve">A</w:t>
      </w:r>
      <w:r>
        <w:t xml:space="preserve"> </w:t>
      </w:r>
      <w:r>
        <w:t xml:space="preserve">MIDDLE</w:t>
      </w:r>
      <w:r>
        <w:t xml:space="preserve"> </w:t>
      </w:r>
      <w:r>
        <w:t xml:space="preserve">AGE</w:t>
      </w:r>
      <w:r>
        <w:t xml:space="preserve"> </w:t>
      </w:r>
      <w:r>
        <w:t xml:space="preserve">AFRICAN</w:t>
      </w:r>
      <w:r>
        <w:t xml:space="preserve"> </w:t>
      </w:r>
      <w:r>
        <w:t xml:space="preserve">FEMALE</w:t>
      </w:r>
      <w:r>
        <w:t xml:space="preserve"> </w:t>
      </w:r>
      <w:r>
        <w:t xml:space="preserve">FROM</w:t>
      </w:r>
      <w:r>
        <w:t xml:space="preserve"> </w:t>
      </w:r>
      <w:r>
        <w:t xml:space="preserve">KENYA,</w:t>
      </w:r>
      <w:r>
        <w:t xml:space="preserve"> </w:t>
      </w:r>
      <w:r>
        <w:t xml:space="preserve">EAST</w:t>
      </w:r>
      <w:r>
        <w:t xml:space="preserve"> </w:t>
      </w:r>
      <w:r>
        <w:t xml:space="preserve">AFRICA:</w:t>
      </w:r>
      <w:r>
        <w:t xml:space="preserve"> </w:t>
      </w:r>
      <w:r>
        <w:t xml:space="preserve">CASE</w:t>
      </w:r>
      <w:r>
        <w:t xml:space="preserve"> </w:t>
      </w:r>
      <w:r>
        <w:t xml:space="preserve">REPORT</w:t>
      </w:r>
      <w:r>
        <w:t xml:space="preserve"> </w:t>
      </w:r>
      <w:r>
        <w:t xml:space="preserve">AND</w:t>
      </w:r>
      <w:r>
        <w:t xml:space="preserve"> </w:t>
      </w:r>
      <w:r>
        <w:t xml:space="preserve">BRIEF</w:t>
      </w:r>
      <w:r>
        <w:t xml:space="preserve"> </w:t>
      </w:r>
      <w:r>
        <w:t xml:space="preserve">LITERATURE</w:t>
      </w:r>
      <w:r>
        <w:t xml:space="preserve"> </w:t>
      </w:r>
      <w:r>
        <w:t xml:space="preserve">REVIEW</w:t>
      </w:r>
    </w:p>
    <w:p>
      <w:pPr>
        <w:pStyle w:val="Author"/>
      </w:pPr>
      <w:r>
        <w:t xml:space="preserve">Fredrick</w:t>
      </w:r>
      <w:r>
        <w:t xml:space="preserve"> </w:t>
      </w:r>
      <w:r>
        <w:t xml:space="preserve">Otieno</w:t>
      </w:r>
    </w:p>
    <w:p>
      <w:pPr>
        <w:pStyle w:val="Author"/>
      </w:pPr>
      <w:r>
        <w:t xml:space="preserve">Nareeba</w:t>
      </w:r>
      <w:r>
        <w:t xml:space="preserve"> </w:t>
      </w:r>
      <w:r>
        <w:t xml:space="preserve">Shallot</w:t>
      </w:r>
    </w:p>
    <w:p>
      <w:pPr>
        <w:pStyle w:val="Author"/>
      </w:pPr>
      <w:r>
        <w:t xml:space="preserve">Grace</w:t>
      </w:r>
      <w:r>
        <w:t xml:space="preserve"> </w:t>
      </w:r>
      <w:r>
        <w:t xml:space="preserve">Mkanjala</w:t>
      </w:r>
    </w:p>
    <w:p>
      <w:pPr>
        <w:pStyle w:val="Author"/>
      </w:pPr>
      <w:r>
        <w:t xml:space="preserve">Ann</w:t>
      </w:r>
      <w:r>
        <w:t xml:space="preserve"> </w:t>
      </w:r>
      <w:r>
        <w:t xml:space="preserve">Wangari</w:t>
      </w:r>
    </w:p>
    <w:p>
      <w:pPr>
        <w:pStyle w:val="Author"/>
      </w:pPr>
      <w:r>
        <w:t xml:space="preserve">Vashti</w:t>
      </w:r>
      <w:r>
        <w:t xml:space="preserve"> </w:t>
      </w:r>
      <w:r>
        <w:t xml:space="preserve">Nyangau</w:t>
      </w:r>
    </w:p>
    <w:p>
      <w:pPr>
        <w:pStyle w:val="FirstParagraph"/>
      </w:pPr>
      <w:r>
        <w:rPr>
          <w:b/>
        </w:rPr>
        <w:t xml:space="preserve">TENOFOVIR INDUCED FANCONI SYNDROME IN A MIDDLE AGE AFRICAN</w:t>
      </w:r>
      <w:r>
        <w:rPr>
          <w:b/>
        </w:rPr>
        <w:t xml:space="preserve"> </w:t>
      </w:r>
      <w:r>
        <w:rPr>
          <w:b/>
        </w:rPr>
        <w:t xml:space="preserve">FEMALE FROM KENYA, EAST AFRICA: CASE REPORT AND BRIEF LITERATURE</w:t>
      </w:r>
      <w:r>
        <w:rPr>
          <w:b/>
        </w:rPr>
        <w:t xml:space="preserve"> </w:t>
      </w:r>
      <w:r>
        <w:rPr>
          <w:b/>
        </w:rPr>
        <w:t xml:space="preserve">REVIEW.</w:t>
      </w:r>
    </w:p>
    <w:p>
      <w:pPr>
        <w:pStyle w:val="BodyText"/>
      </w:pPr>
      <w:r>
        <w:rPr>
          <w:b/>
        </w:rPr>
        <w:t xml:space="preserve">Authors: Fredrick Odhiambo</w:t>
      </w:r>
      <w:r>
        <w:rPr>
          <w:vertAlign w:val="superscript"/>
          <w:b/>
        </w:rPr>
        <w:t xml:space="preserve">1</w:t>
      </w:r>
      <w:r>
        <w:rPr>
          <w:b/>
        </w:rPr>
        <w:t xml:space="preserve">, Grace</w:t>
      </w:r>
      <w:r>
        <w:rPr>
          <w:b/>
        </w:rPr>
        <w:t xml:space="preserve"> </w:t>
      </w:r>
      <w:r>
        <w:rPr>
          <w:b/>
        </w:rPr>
        <w:t xml:space="preserve">Mwangeka</w:t>
      </w:r>
      <w:r>
        <w:rPr>
          <w:vertAlign w:val="superscript"/>
          <w:b/>
        </w:rPr>
        <w:t xml:space="preserve">1</w:t>
      </w:r>
      <w:r>
        <w:rPr>
          <w:b/>
        </w:rPr>
        <w:t xml:space="preserve">, Shallot Nareeba</w:t>
      </w:r>
      <w:r>
        <w:rPr>
          <w:vertAlign w:val="superscript"/>
          <w:b/>
        </w:rPr>
        <w:t xml:space="preserve">1</w:t>
      </w:r>
      <w:r>
        <w:rPr>
          <w:b/>
        </w:rPr>
        <w:t xml:space="preserve">, Vashti</w:t>
      </w:r>
      <w:r>
        <w:rPr>
          <w:b/>
        </w:rPr>
        <w:t xml:space="preserve"> </w:t>
      </w:r>
      <w:r>
        <w:rPr>
          <w:b/>
        </w:rPr>
        <w:t xml:space="preserve">Nyakebati</w:t>
      </w:r>
      <w:r>
        <w:rPr>
          <w:vertAlign w:val="superscript"/>
          <w:b/>
        </w:rPr>
        <w:t xml:space="preserve">2</w:t>
      </w:r>
      <w:r>
        <w:rPr>
          <w:b/>
        </w:rPr>
        <w:t xml:space="preserve">, Ann Njambi</w:t>
      </w:r>
      <w:r>
        <w:rPr>
          <w:vertAlign w:val="superscript"/>
          <w:b/>
        </w:rPr>
        <w:t xml:space="preserve">2</w:t>
      </w:r>
    </w:p>
    <w:p>
      <w:pPr>
        <w:pStyle w:val="BodyText"/>
      </w:pPr>
      <w:r>
        <w:rPr>
          <w:b/>
        </w:rPr>
        <w:t xml:space="preserve">ABSTRACT</w:t>
      </w:r>
    </w:p>
    <w:p>
      <w:pPr>
        <w:pStyle w:val="BodyText"/>
      </w:pPr>
      <w:r>
        <w:t xml:space="preserve">This is a case presentation of a 50-year-old African female who had been</w:t>
      </w:r>
      <w:r>
        <w:t xml:space="preserve"> </w:t>
      </w:r>
      <w:r>
        <w:t xml:space="preserve">on a Tenofovir based regimen for twelve years and developed Fanconi</w:t>
      </w:r>
      <w:r>
        <w:t xml:space="preserve"> </w:t>
      </w:r>
      <w:r>
        <w:t xml:space="preserve">syndrome. she recovered after discontinuation of the Tenofovir</w:t>
      </w:r>
      <w:r>
        <w:t xml:space="preserve"> </w:t>
      </w:r>
      <w:r>
        <w:t xml:space="preserve">Disoproxil Fumarate (TDF).</w:t>
      </w:r>
    </w:p>
    <w:p>
      <w:pPr>
        <w:pStyle w:val="BodyText"/>
      </w:pPr>
      <w:r>
        <w:rPr>
          <w:b/>
        </w:rPr>
        <w:t xml:space="preserve">KEY CLINICAL MESSAGE</w:t>
      </w:r>
    </w:p>
    <w:p>
      <w:pPr>
        <w:pStyle w:val="BodyText"/>
      </w:pPr>
      <w:r>
        <w:t xml:space="preserve">This case presentation highlights the need to routinely monitor renal</w:t>
      </w:r>
      <w:r>
        <w:t xml:space="preserve"> </w:t>
      </w:r>
      <w:r>
        <w:t xml:space="preserve">function in patients on Tenofovir Disoproxil Fumarate (TDF) due to its</w:t>
      </w:r>
      <w:r>
        <w:t xml:space="preserve"> </w:t>
      </w:r>
      <w:r>
        <w:t xml:space="preserve">side effect of proximal tubule dysfunction.</w:t>
      </w:r>
    </w:p>
    <w:p>
      <w:pPr>
        <w:pStyle w:val="BodyText"/>
      </w:pPr>
      <w:r>
        <w:rPr>
          <w:b/>
        </w:rPr>
        <w:t xml:space="preserve">INTRODUCTION</w:t>
      </w:r>
    </w:p>
    <w:p>
      <w:pPr>
        <w:pStyle w:val="BodyText"/>
      </w:pPr>
      <w:r>
        <w:t xml:space="preserve">Tenofovir Disoproxil Fumarate (TDF) is one of the newest and more</w:t>
      </w:r>
      <w:r>
        <w:t xml:space="preserve"> </w:t>
      </w:r>
      <w:r>
        <w:t xml:space="preserve">tolerable backbone of highly active antiretroviral therapy (HAART) in</w:t>
      </w:r>
      <w:r>
        <w:t xml:space="preserve"> </w:t>
      </w:r>
      <w:r>
        <w:t xml:space="preserve">the class of nucleotide reverse transcriptase inhibitor (NRTI). In 2016,</w:t>
      </w:r>
      <w:r>
        <w:t xml:space="preserve"> </w:t>
      </w:r>
      <w:r>
        <w:t xml:space="preserve">World Health Organization (WHO) published a consolidated guideline that</w:t>
      </w:r>
      <w:r>
        <w:t xml:space="preserve"> </w:t>
      </w:r>
      <w:r>
        <w:t xml:space="preserve">recommended Tenofovir based regimen as the first line for adults and</w:t>
      </w:r>
      <w:r>
        <w:t xml:space="preserve"> </w:t>
      </w:r>
      <w:r>
        <w:t xml:space="preserve">adolescents and henceforward this regimen has been extensively rolled</w:t>
      </w:r>
      <w:r>
        <w:t xml:space="preserve"> </w:t>
      </w:r>
      <w:r>
        <w:t xml:space="preserve">out11</w:t>
      </w:r>
      <w:r>
        <w:rPr>
          <w:b/>
        </w:rPr>
        <w:t xml:space="preserve">References</w:t>
      </w:r>
      <w:r>
        <w:t xml:space="preserve">WHO (2018, January 1). Updated recommendations</w:t>
      </w:r>
      <w:r>
        <w:t xml:space="preserve"> </w:t>
      </w:r>
      <w:r>
        <w:t xml:space="preserve">on the first line and second line antiretroviral regimens and post</w:t>
      </w:r>
      <w:r>
        <w:t xml:space="preserve"> </w:t>
      </w:r>
      <w:r>
        <w:t xml:space="preserve">exposure prophylaxis and recommendations on early infant diagnosis of</w:t>
      </w:r>
      <w:r>
        <w:t xml:space="preserve"> </w:t>
      </w:r>
      <w:r>
        <w:t xml:space="preserve">HIV. Despite its excellent safety profile and tolerability TDF is known</w:t>
      </w:r>
      <w:r>
        <w:t xml:space="preserve"> </w:t>
      </w:r>
      <w:r>
        <w:t xml:space="preserve">to cause proximal tubule renal dysfunction. TDF renal tubulopathy can</w:t>
      </w:r>
      <w:r>
        <w:t xml:space="preserve"> </w:t>
      </w:r>
      <w:r>
        <w:t xml:space="preserve">manifest as Fanconi syndrome (FS), Acute kidney injury or chronic kidney</w:t>
      </w:r>
      <w:r>
        <w:t xml:space="preserve"> </w:t>
      </w:r>
      <w:r>
        <w:t xml:space="preserve">disease22Verhelst D,  Monge M, MeynardJL, et al. Fanconi syndrome and</w:t>
      </w:r>
      <w:r>
        <w:t xml:space="preserve"> </w:t>
      </w:r>
      <w:r>
        <w:t xml:space="preserve">renal failure induced by tenofovir: a first case report, </w:t>
      </w:r>
      <w:r>
        <w:rPr>
          <w:i/>
        </w:rPr>
        <w:t xml:space="preserve">Am J</w:t>
      </w:r>
      <w:r>
        <w:rPr>
          <w:i/>
        </w:rPr>
        <w:t xml:space="preserve"> </w:t>
      </w:r>
      <w:r>
        <w:rPr>
          <w:i/>
        </w:rPr>
        <w:t xml:space="preserve">Kidney Dis</w:t>
      </w:r>
      <w:r>
        <w:t xml:space="preserve"> </w:t>
      </w:r>
      <w:r>
        <w:t xml:space="preserve">, 2002, vol. 40(pg. 13313). Here, we present the case of a</w:t>
      </w:r>
      <w:r>
        <w:t xml:space="preserve"> </w:t>
      </w:r>
      <w:r>
        <w:t xml:space="preserve">middle age African female on Tenofovir based regimen who developed</w:t>
      </w:r>
      <w:r>
        <w:t xml:space="preserve"> </w:t>
      </w:r>
      <w:r>
        <w:t xml:space="preserve">Fanconi syndrome after 12 years of Tenofovir based HAART.</w:t>
      </w:r>
    </w:p>
    <w:p>
      <w:pPr>
        <w:pStyle w:val="BodyText"/>
      </w:pPr>
      <w:r>
        <w:rPr>
          <w:b/>
        </w:rPr>
        <w:t xml:space="preserve">CASE REPORT</w:t>
      </w:r>
    </w:p>
    <w:p>
      <w:pPr>
        <w:pStyle w:val="BodyText"/>
      </w:pPr>
      <w:r>
        <w:t xml:space="preserve">We present a case of a 50-year-old black African female on management of</w:t>
      </w:r>
      <w:r>
        <w:t xml:space="preserve"> </w:t>
      </w:r>
      <w:r>
        <w:t xml:space="preserve">HIV for the last 12 years who presented to our hospital with complaints</w:t>
      </w:r>
      <w:r>
        <w:t xml:space="preserve"> </w:t>
      </w:r>
      <w:r>
        <w:t xml:space="preserve">of longstanding generalized body aches and bone pains for a duration of</w:t>
      </w:r>
      <w:r>
        <w:t xml:space="preserve"> </w:t>
      </w:r>
      <w:r>
        <w:t xml:space="preserve">2 years. These symptoms got worse 3 weeks prior to admission and were</w:t>
      </w:r>
      <w:r>
        <w:t xml:space="preserve"> </w:t>
      </w:r>
      <w:r>
        <w:t xml:space="preserve">associated with muscle weakness of both the upper and lower limbs. In</w:t>
      </w:r>
      <w:r>
        <w:t xml:space="preserve"> </w:t>
      </w:r>
      <w:r>
        <w:t xml:space="preserve">addition, she had joint pains worsened by activity but not associated</w:t>
      </w:r>
      <w:r>
        <w:t xml:space="preserve"> </w:t>
      </w:r>
      <w:r>
        <w:t xml:space="preserve">with stiffness. A year prior to admission she suffered a trivial fall</w:t>
      </w:r>
      <w:r>
        <w:t xml:space="preserve"> </w:t>
      </w:r>
      <w:r>
        <w:t xml:space="preserve">without a fracture that rendered her unable to walk. She denied any of</w:t>
      </w:r>
      <w:r>
        <w:t xml:space="preserve"> </w:t>
      </w:r>
      <w:r>
        <w:t xml:space="preserve">history of cough, weight loss, night sweats, back pain or paraesthesia.</w:t>
      </w:r>
      <w:r>
        <w:t xml:space="preserve"> </w:t>
      </w:r>
      <w:r>
        <w:t xml:space="preserve">Moreover, she had normal bladder and bowel control without polydipsia,</w:t>
      </w:r>
      <w:r>
        <w:t xml:space="preserve"> </w:t>
      </w:r>
      <w:r>
        <w:t xml:space="preserve">polyuria or even polyphagia.</w:t>
      </w:r>
    </w:p>
    <w:p>
      <w:pPr>
        <w:pStyle w:val="BodyText"/>
      </w:pPr>
      <w:r>
        <w:t xml:space="preserve">Our patient was initiated on HAART in 2011 and has been on drugs with</w:t>
      </w:r>
      <w:r>
        <w:t xml:space="preserve"> </w:t>
      </w:r>
      <w:r>
        <w:t xml:space="preserve">excellent adherence since then. She was on TDF/3TC/EFV, however in 2019</w:t>
      </w:r>
      <w:r>
        <w:t xml:space="preserve"> </w:t>
      </w:r>
      <w:r>
        <w:t xml:space="preserve">she was transferred to TDF/3TC/DTG as part of a Nationwide optimization</w:t>
      </w:r>
      <w:r>
        <w:t xml:space="preserve"> </w:t>
      </w:r>
      <w:r>
        <w:t xml:space="preserve">program.</w:t>
      </w:r>
    </w:p>
    <w:p>
      <w:pPr>
        <w:pStyle w:val="BodyText"/>
      </w:pPr>
      <w:r>
        <w:t xml:space="preserve">She has a history of pulmonary TB treatment 13 years ago but no history</w:t>
      </w:r>
      <w:r>
        <w:t xml:space="preserve"> </w:t>
      </w:r>
      <w:r>
        <w:t xml:space="preserve">of any other opportunistic infection, hypertension or diabetes.</w:t>
      </w:r>
    </w:p>
    <w:p>
      <w:pPr>
        <w:pStyle w:val="BodyText"/>
      </w:pPr>
      <w:r>
        <w:t xml:space="preserve">General exams revealed a middle-aged female who was alert and</w:t>
      </w:r>
      <w:r>
        <w:t xml:space="preserve"> </w:t>
      </w:r>
      <w:r>
        <w:t xml:space="preserve">responsive, groaning and moaning in pain. She was wasted with a BMI of</w:t>
      </w:r>
      <w:r>
        <w:t xml:space="preserve"> </w:t>
      </w:r>
      <w:r>
        <w:t xml:space="preserve">17.8 kg/m</w:t>
      </w:r>
      <w:r>
        <w:rPr>
          <w:vertAlign w:val="superscript"/>
        </w:rPr>
        <w:t xml:space="preserve">2</w:t>
      </w:r>
      <w:r>
        <w:t xml:space="preserve"> </w:t>
      </w:r>
      <w:r>
        <w:t xml:space="preserve">and a weight of 48 Kgs. There was no</w:t>
      </w:r>
      <w:r>
        <w:t xml:space="preserve"> </w:t>
      </w:r>
      <w:r>
        <w:t xml:space="preserve">pallor, jaundice, dehydration, oedema or lymphadenopathy. Her vital</w:t>
      </w:r>
      <w:r>
        <w:t xml:space="preserve"> </w:t>
      </w:r>
      <w:r>
        <w:t xml:space="preserve">signs were within the normal ranges. On musculoskeletal exams she had</w:t>
      </w:r>
      <w:r>
        <w:t xml:space="preserve"> </w:t>
      </w:r>
      <w:r>
        <w:t xml:space="preserve">reduced muscle bulk, reduced muscle power graded at 3/5 and tenderness</w:t>
      </w:r>
      <w:r>
        <w:t xml:space="preserve"> </w:t>
      </w:r>
      <w:r>
        <w:t xml:space="preserve">on palpation of the muscles and along the long bones. Range of motion of</w:t>
      </w:r>
      <w:r>
        <w:t xml:space="preserve"> </w:t>
      </w:r>
      <w:r>
        <w:t xml:space="preserve">the right hip joint was also restricted. The other systemic exams were</w:t>
      </w:r>
      <w:r>
        <w:t xml:space="preserve"> </w:t>
      </w:r>
      <w:r>
        <w:t xml:space="preserve">normal.</w:t>
      </w:r>
    </w:p>
    <w:p>
      <w:pPr>
        <w:pStyle w:val="BodyText"/>
      </w:pPr>
      <w:r>
        <w:t xml:space="preserve">L</w:t>
      </w:r>
      <w:r>
        <w:rPr>
          <w:b/>
        </w:rPr>
        <w:t xml:space="preserve">aboratory investigations done at admission</w:t>
      </w:r>
      <w:r>
        <w:t xml:space="preserve"> </w:t>
      </w:r>
      <w:r>
        <w:t xml:space="preserve">revealed reduced</w:t>
      </w:r>
      <w:r>
        <w:t xml:space="preserve"> </w:t>
      </w:r>
      <w:r>
        <w:t xml:space="preserve">GFR at 35.80 ml/min/1.73m</w:t>
      </w:r>
      <w:r>
        <w:rPr>
          <w:vertAlign w:val="superscript"/>
        </w:rPr>
        <w:t xml:space="preserve">2</w:t>
      </w:r>
      <w:r>
        <w:t xml:space="preserve"> </w:t>
      </w:r>
      <w:r>
        <w:t xml:space="preserve">(CKD- EPI) with raised</w:t>
      </w:r>
      <w:r>
        <w:t xml:space="preserve"> </w:t>
      </w:r>
      <w:r>
        <w:t xml:space="preserve">creatinine levels of 152.58 umol/l. Her Calcium and Uric acid levels</w:t>
      </w:r>
      <w:r>
        <w:t xml:space="preserve"> </w:t>
      </w:r>
      <w:r>
        <w:t xml:space="preserve">were low at 1.8 mmol/l and 2.26 mg/dl respectively. She had normal</w:t>
      </w:r>
      <w:r>
        <w:t xml:space="preserve"> </w:t>
      </w:r>
      <w:r>
        <w:t xml:space="preserve">HBA</w:t>
      </w:r>
      <w:r>
        <w:rPr>
          <w:vertAlign w:val="subscript"/>
        </w:rPr>
        <w:t xml:space="preserve">1c</w:t>
      </w:r>
      <w:r>
        <w:t xml:space="preserve"> </w:t>
      </w:r>
      <w:r>
        <w:t xml:space="preserve">of 4.6% with a normal random blood sugar of 6.7</w:t>
      </w:r>
      <w:r>
        <w:t xml:space="preserve"> </w:t>
      </w:r>
      <w:r>
        <w:t xml:space="preserve">mmol/L. Abnormal urinalysis findings that included glycosuria of</w:t>
      </w:r>
      <w:r>
        <w:t xml:space="preserve"> </w:t>
      </w:r>
      <w:r>
        <w:t xml:space="preserve">250mg/dl, proteinuria of 100 mg/dl and urine pH of 7.0. She had normal</w:t>
      </w:r>
      <w:r>
        <w:t xml:space="preserve"> </w:t>
      </w:r>
      <w:r>
        <w:t xml:space="preserve">full hemogram and electrolytes, and a negative Rheumatoid factor.</w:t>
      </w:r>
    </w:p>
    <w:p>
      <w:pPr>
        <w:pStyle w:val="BodyText"/>
      </w:pPr>
      <w:r>
        <w:t xml:space="preserve">KUB ultrasound was normal, but the Bone survey x-rays (attached)</w:t>
      </w:r>
      <w:r>
        <w:t xml:space="preserve"> </w:t>
      </w:r>
      <w:r>
        <w:t xml:space="preserve">revealed features of osteoporosis and osteoarthritis of the Hip joints.</w:t>
      </w:r>
    </w:p>
    <w:p>
      <w:pPr>
        <w:pStyle w:val="BodyText"/>
      </w:pPr>
      <w:r>
        <w:t xml:space="preserve">A diagnosis of Fanconi syndrome secondary to</w:t>
      </w:r>
      <w:r>
        <w:t xml:space="preserve"> </w:t>
      </w:r>
      <w:r>
        <w:rPr>
          <w:b/>
        </w:rPr>
        <w:t xml:space="preserve">Tenofovir</w:t>
      </w:r>
      <w:r>
        <w:rPr>
          <w:b/>
        </w:rPr>
        <w:t xml:space="preserve"> </w:t>
      </w:r>
      <w:r>
        <w:rPr>
          <w:b/>
        </w:rPr>
        <w:t xml:space="preserve">nephrotoxicity</w:t>
      </w:r>
      <w:r>
        <w:t xml:space="preserve"> </w:t>
      </w:r>
      <w:r>
        <w:t xml:space="preserve">was made based on clinical symptoms of generalized body</w:t>
      </w:r>
      <w:r>
        <w:t xml:space="preserve"> </w:t>
      </w:r>
      <w:r>
        <w:t xml:space="preserve">aches and bone pains and supporting laboratory findings of elevated</w:t>
      </w:r>
      <w:r>
        <w:t xml:space="preserve"> </w:t>
      </w:r>
      <w:r>
        <w:t xml:space="preserve">creatinine levels, proteinuria, glycosuria, hypouricemia, osteoporosis</w:t>
      </w:r>
      <w:r>
        <w:t xml:space="preserve"> </w:t>
      </w:r>
      <w:r>
        <w:t xml:space="preserve">and a urine pH of &gt;5.</w:t>
      </w:r>
    </w:p>
    <w:p>
      <w:pPr>
        <w:pStyle w:val="BodyText"/>
      </w:pPr>
      <w:r>
        <w:t xml:space="preserve">Our patient was then switched from TDF based regimen to an Abacavir</w:t>
      </w:r>
      <w:r>
        <w:t xml:space="preserve"> </w:t>
      </w:r>
      <w:r>
        <w:t xml:space="preserve">based one, Abacavir/Lamivudine/ Dolutegravir. Serial creatinine levels</w:t>
      </w:r>
      <w:r>
        <w:t xml:space="preserve"> </w:t>
      </w:r>
      <w:r>
        <w:t xml:space="preserve">were done, See</w:t>
      </w:r>
      <w:r>
        <w:t xml:space="preserve"> </w:t>
      </w:r>
      <w:r>
        <w:rPr>
          <w:i/>
        </w:rPr>
        <w:t xml:space="preserve">table 1</w:t>
      </w:r>
      <w:r>
        <w:t xml:space="preserve"> </w:t>
      </w:r>
      <w:r>
        <w:t xml:space="preserve">.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Day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Admission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Day 10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Day 25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Day 81</w:t>
            </w:r>
          </w:p>
        </w:tc>
      </w:tr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Creatinine levels</w:t>
            </w:r>
          </w:p>
        </w:tc>
        <w:tc>
          <w:p>
            <w:pPr>
              <w:pStyle w:val="Compact"/>
              <w:jc w:val="left"/>
            </w:pPr>
            <w:r>
              <w:t xml:space="preserve">152.58 umol/l</w:t>
            </w:r>
          </w:p>
        </w:tc>
        <w:tc>
          <w:p>
            <w:pPr>
              <w:pStyle w:val="Compact"/>
              <w:jc w:val="left"/>
            </w:pPr>
            <w:r>
              <w:t xml:space="preserve">126.2 umol/l.</w:t>
            </w:r>
          </w:p>
        </w:tc>
        <w:tc>
          <w:p>
            <w:pPr>
              <w:pStyle w:val="Compact"/>
              <w:jc w:val="left"/>
            </w:pPr>
            <w:r>
              <w:t xml:space="preserve">118.7</w:t>
            </w:r>
            <w:r>
              <w:t xml:space="preserve"> </w:t>
            </w:r>
            <w:r>
              <w:t xml:space="preserve">umol/l.</w:t>
            </w:r>
          </w:p>
        </w:tc>
        <w:tc>
          <w:p>
            <w:pPr>
              <w:pStyle w:val="Compact"/>
              <w:jc w:val="left"/>
            </w:pPr>
            <w:r>
              <w:t xml:space="preserve">110umol/l.</w:t>
            </w:r>
          </w:p>
        </w:tc>
      </w:tr>
    </w:tbl>
    <w:p>
      <w:pPr>
        <w:pStyle w:val="BodyText"/>
      </w:pPr>
      <w:r>
        <w:t xml:space="preserve">Table 1: Creatinine trends</w:t>
      </w:r>
    </w:p>
    <w:p>
      <w:pPr>
        <w:pStyle w:val="BodyText"/>
      </w:pPr>
      <w:r>
        <w:t xml:space="preserve">She had progressive reduction in the creatinine levels and repeat of</w:t>
      </w:r>
      <w:r>
        <w:t xml:space="preserve"> </w:t>
      </w:r>
      <w:r>
        <w:t xml:space="preserve">urinalysis 11 weeks later revealed clearance of the proteinuria and</w:t>
      </w:r>
      <w:r>
        <w:t xml:space="preserve"> </w:t>
      </w:r>
      <w:r>
        <w:t xml:space="preserve">glycosuria, normal calcium levels of 2.25 mmol/l and Improvement in</w:t>
      </w:r>
      <w:r>
        <w:t xml:space="preserve"> </w:t>
      </w:r>
      <w:r>
        <w:t xml:space="preserve">muscle power and activities of daily living. She was now able to walk</w:t>
      </w:r>
      <w:r>
        <w:t xml:space="preserve"> </w:t>
      </w:r>
      <w:r>
        <w:t xml:space="preserve">with support using a walker.</w:t>
      </w:r>
    </w:p>
    <w:p>
      <w:pPr>
        <w:pStyle w:val="BodyText"/>
      </w:pPr>
      <w:r>
        <w:drawing>
          <wp:inline>
            <wp:extent cx="540000" cy="7152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1/image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715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X-ray 1:Skull</w:t>
      </w:r>
    </w:p>
    <w:p>
      <w:pPr>
        <w:pStyle w:val="BodyText"/>
      </w:pPr>
      <w:r>
        <w:drawing>
          <wp:inline>
            <wp:extent cx="787200" cy="6852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2/image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00" cy="685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X-ray 2: Pelvic</w:t>
      </w:r>
    </w:p>
    <w:p>
      <w:pPr>
        <w:pStyle w:val="BodyText"/>
      </w:pPr>
      <w:r>
        <w:rPr>
          <w:b/>
        </w:rPr>
        <w:t xml:space="preserve">DISCUSSION</w:t>
      </w:r>
    </w:p>
    <w:p>
      <w:pPr>
        <w:pStyle w:val="BodyText"/>
      </w:pPr>
      <w:r>
        <w:t xml:space="preserve">FS is a proximal tubule dysfunction that results in normoglycemic</w:t>
      </w:r>
      <w:r>
        <w:t xml:space="preserve"> </w:t>
      </w:r>
      <w:r>
        <w:t xml:space="preserve">glycosuria, as well as urinary loss of phosphate, calcium, uric acid,</w:t>
      </w:r>
      <w:r>
        <w:t xml:space="preserve"> </w:t>
      </w:r>
      <w:r>
        <w:t xml:space="preserve">amino acids, bicarbonates, and tubular proteins 11Izzedine H,</w:t>
      </w:r>
      <w:r>
        <w:t xml:space="preserve"> </w:t>
      </w:r>
      <w:r>
        <w:t xml:space="preserve">Launay-Vacher V, Isnard-Bagnis C, Deray G. Drug-induced Fanconi’s</w:t>
      </w:r>
      <w:r>
        <w:t xml:space="preserve"> </w:t>
      </w:r>
      <w:r>
        <w:t xml:space="preserve">syndrome, Am J Kidney Dis, 2003, vol. 41 (pg. 292-309). Tenofovir can</w:t>
      </w:r>
      <w:r>
        <w:t xml:space="preserve"> </w:t>
      </w:r>
      <w:r>
        <w:t xml:space="preserve">cause complete or partial Fanconi syndrome. Majority of cases present as</w:t>
      </w:r>
      <w:r>
        <w:t xml:space="preserve"> </w:t>
      </w:r>
      <w:r>
        <w:t xml:space="preserve">partial with an elevation in creatinine levels, hypophosphatemia and</w:t>
      </w:r>
      <w:r>
        <w:t xml:space="preserve"> </w:t>
      </w:r>
      <w:r>
        <w:t xml:space="preserve">glycosuria 22Izzedine H, Hulot JS, Vittecoq D, et al. Long-term renal</w:t>
      </w:r>
      <w:r>
        <w:t xml:space="preserve"> </w:t>
      </w:r>
      <w:r>
        <w:t xml:space="preserve">safety of tenofovir disoproxil fumarate in antiretroviral-naive</w:t>
      </w:r>
      <w:r>
        <w:t xml:space="preserve"> </w:t>
      </w:r>
      <w:r>
        <w:t xml:space="preserve">HIV-1-infected patients: data from a double-blind randomized</w:t>
      </w:r>
      <w:r>
        <w:t xml:space="preserve"> </w:t>
      </w:r>
      <w:r>
        <w:t xml:space="preserve">active-controlled multicentre study, Nephrol Dial Transplant, 2005, vol.</w:t>
      </w:r>
      <w:r>
        <w:t xml:space="preserve"> </w:t>
      </w:r>
      <w:r>
        <w:t xml:space="preserve">20 (pg. 743-6). Patients on TDF based regimen are at 5 times greater</w:t>
      </w:r>
      <w:r>
        <w:t xml:space="preserve"> </w:t>
      </w:r>
      <w:r>
        <w:t xml:space="preserve">risk of developing chronic kidney disease in comparison to patients on a</w:t>
      </w:r>
      <w:r>
        <w:t xml:space="preserve"> </w:t>
      </w:r>
      <w:r>
        <w:t xml:space="preserve">non-TDF based regimen. This rapid decline of estimated GFR mostly occur</w:t>
      </w:r>
      <w:r>
        <w:t xml:space="preserve"> </w:t>
      </w:r>
      <w:r>
        <w:t xml:space="preserve">in the first 2-3 years of treatment33Jirayu Visuthranukul, T. R. (2021).</w:t>
      </w:r>
      <w:r>
        <w:t xml:space="preserve"> </w:t>
      </w:r>
      <w:r>
        <w:t xml:space="preserve">Incidence Rate and Time to Occurrence of Renal Impairment and Chronic</w:t>
      </w:r>
      <w:r>
        <w:t xml:space="preserve"> </w:t>
      </w:r>
      <w:r>
        <w:t xml:space="preserve">Kidney Disease among Thai HIV-infected Adults with Tenofovir Disoproxil</w:t>
      </w:r>
      <w:r>
        <w:t xml:space="preserve"> </w:t>
      </w:r>
      <w:r>
        <w:t xml:space="preserve">Fumarate Use. Open Aids Journal, 73-80..The prevalence of renal</w:t>
      </w:r>
      <w:r>
        <w:t xml:space="preserve"> </w:t>
      </w:r>
      <w:r>
        <w:t xml:space="preserve">dysfunction induced by TDF is estimated at 5.6%, and the risk is</w:t>
      </w:r>
      <w:r>
        <w:t xml:space="preserve"> </w:t>
      </w:r>
      <w:r>
        <w:t xml:space="preserve">increased with advanced age, low BMI, low baseline CD4 count,</w:t>
      </w:r>
      <w:r>
        <w:t xml:space="preserve"> </w:t>
      </w:r>
      <w:r>
        <w:t xml:space="preserve">hypertension and diabetes44Nagalingeswaran Kumarasamy, S. S. (2018).</w:t>
      </w:r>
      <w:r>
        <w:t xml:space="preserve"> </w:t>
      </w:r>
      <w:r>
        <w:t xml:space="preserve">Prevalence and factors associated with renal dysfunction in patients on</w:t>
      </w:r>
      <w:r>
        <w:t xml:space="preserve"> </w:t>
      </w:r>
      <w:r>
        <w:t xml:space="preserve">tenofovir disoproxil fumarate-based antiretroviral regimens for HIV</w:t>
      </w:r>
      <w:r>
        <w:t xml:space="preserve"> </w:t>
      </w:r>
      <w:r>
        <w:t xml:space="preserve">infection in Southern India.</w:t>
      </w:r>
      <w:r>
        <w:rPr>
          <w:i/>
        </w:rPr>
        <w:t xml:space="preserve">Journal of Virus Eradication, 4</w:t>
      </w:r>
      <w:r>
        <w:t xml:space="preserve"> </w:t>
      </w:r>
      <w:r>
        <w:t xml:space="preserve">(1),</w:t>
      </w:r>
      <w:r>
        <w:t xml:space="preserve"> </w:t>
      </w:r>
      <w:r>
        <w:t xml:space="preserve">37-40. Retrieved from https://doi.org/10.1016/S2055-6640(20)30245-4..</w:t>
      </w:r>
      <w:r>
        <w:t xml:space="preserve"> </w:t>
      </w:r>
      <w:r>
        <w:t xml:space="preserve">Severe nephrotoxicity to warrant discontinuation has been reported in</w:t>
      </w:r>
      <w:r>
        <w:t xml:space="preserve"> </w:t>
      </w:r>
      <w:r>
        <w:t xml:space="preserve">1% patients yearly55Fux, C. A., Simcock, M., Wolbers, M., Bucher, H.</w:t>
      </w:r>
      <w:r>
        <w:t xml:space="preserve"> </w:t>
      </w:r>
      <w:r>
        <w:t xml:space="preserve">C., Hirschel, B., Opravil, M., Vernazza, P., Cavassini, M., Bernasconi,</w:t>
      </w:r>
      <w:r>
        <w:t xml:space="preserve"> </w:t>
      </w:r>
      <w:r>
        <w:t xml:space="preserve">E., Elzi, L., Furrer, H., &amp; Swiss HIV Cohort Study (2007). Tenofovir</w:t>
      </w:r>
      <w:r>
        <w:t xml:space="preserve"> </w:t>
      </w:r>
      <w:r>
        <w:t xml:space="preserve">use is associated with a reduction in calculated glomerular filtration</w:t>
      </w:r>
      <w:r>
        <w:t xml:space="preserve"> </w:t>
      </w:r>
      <w:r>
        <w:t xml:space="preserve">rates in the Swiss HIV Cohort Study. </w:t>
      </w:r>
      <w:r>
        <w:rPr>
          <w:i/>
        </w:rPr>
        <w:t xml:space="preserve">Antiviral therapy</w:t>
      </w:r>
      <w:r>
        <w:t xml:space="preserve"> </w:t>
      </w:r>
      <w:r>
        <w:t xml:space="preserve">, </w:t>
      </w:r>
      <w:r>
        <w:rPr>
          <w:i/>
        </w:rPr>
        <w:t xml:space="preserve">12</w:t>
      </w:r>
      <w:r>
        <w:t xml:space="preserve"> </w:t>
      </w:r>
      <w:r>
        <w:t xml:space="preserve">(8), 1165–1173..) Africans with pre-existing renal disease</w:t>
      </w:r>
      <w:r>
        <w:t xml:space="preserve"> </w:t>
      </w:r>
      <w:r>
        <w:t xml:space="preserve">and advanced age are at a greater risk of statistically significant TDF</w:t>
      </w:r>
      <w:r>
        <w:t xml:space="preserve"> </w:t>
      </w:r>
      <w:r>
        <w:t xml:space="preserve">associated renal function decline66Mtisi, T.J., Ndhlovu, C.E., Maponga,</w:t>
      </w:r>
      <w:r>
        <w:t xml:space="preserve"> </w:t>
      </w:r>
      <w:r>
        <w:t xml:space="preserve">C.C. </w:t>
      </w:r>
      <w:r>
        <w:rPr>
          <w:i/>
        </w:rPr>
        <w:t xml:space="preserve">et al.</w:t>
      </w:r>
      <w:r>
        <w:t xml:space="preserve"> </w:t>
      </w:r>
      <w:r>
        <w:t xml:space="preserve"> Tenofovir-associated kidney disease in Africans: a</w:t>
      </w:r>
      <w:r>
        <w:t xml:space="preserve"> </w:t>
      </w:r>
      <w:r>
        <w:t xml:space="preserve">systematic review. </w:t>
      </w:r>
      <w:r>
        <w:rPr>
          <w:i/>
        </w:rPr>
        <w:t xml:space="preserve">AIDS Res Ther</w:t>
      </w:r>
      <w:r>
        <w:t xml:space="preserve"> </w:t>
      </w:r>
      <w:r>
        <w:t xml:space="preserve"> </w:t>
      </w:r>
      <w:r>
        <w:rPr>
          <w:b/>
        </w:rPr>
        <w:t xml:space="preserve">16</w:t>
      </w:r>
      <w:r>
        <w:t xml:space="preserve"> </w:t>
      </w:r>
      <w:r>
        <w:t xml:space="preserve">, 12 (2019).</w:t>
      </w:r>
      <w:r>
        <w:t xml:space="preserve"> </w:t>
      </w:r>
      <w:r>
        <w:t xml:space="preserve">https://doi.org/10.1186/s12981-019-0227-1. Concomitant protease</w:t>
      </w:r>
      <w:r>
        <w:t xml:space="preserve"> </w:t>
      </w:r>
      <w:r>
        <w:t xml:space="preserve">inhibitor use has also been suggested to contribute to development of</w:t>
      </w:r>
      <w:r>
        <w:t xml:space="preserve"> </w:t>
      </w:r>
      <w:r>
        <w:t xml:space="preserve">TDF associated nephrotoxicity77Ryan D. Cooper and others, Systematic</w:t>
      </w:r>
      <w:r>
        <w:t xml:space="preserve"> </w:t>
      </w:r>
      <w:r>
        <w:t xml:space="preserve">Review and Meta-analysis: Renal Safety of Tenofovir Disoproxil Fumarate</w:t>
      </w:r>
      <w:r>
        <w:t xml:space="preserve"> </w:t>
      </w:r>
      <w:r>
        <w:t xml:space="preserve">in HIV-Infected Patients, </w:t>
      </w:r>
      <w:r>
        <w:rPr>
          <w:i/>
        </w:rPr>
        <w:t xml:space="preserve">Clinical Infectious Diseases</w:t>
      </w:r>
      <w:r>
        <w:t xml:space="preserve"> </w:t>
      </w:r>
      <w:r>
        <w:t xml:space="preserve">, Volume</w:t>
      </w:r>
      <w:r>
        <w:t xml:space="preserve"> </w:t>
      </w:r>
      <w:r>
        <w:t xml:space="preserve">51, Issue 5, 1 September 2010, Pages</w:t>
      </w:r>
      <w:r>
        <w:t xml:space="preserve"> </w:t>
      </w:r>
      <w:r>
        <w:t xml:space="preserve">496–505, https://doi.org/10.1086/655681. Other factors including low</w:t>
      </w:r>
      <w:r>
        <w:t xml:space="preserve"> </w:t>
      </w:r>
      <w:r>
        <w:t xml:space="preserve">body weight and low CD4 cell count have been linked to increased</w:t>
      </w:r>
      <w:r>
        <w:t xml:space="preserve"> </w:t>
      </w:r>
      <w:r>
        <w:t xml:space="preserve">susceptibility of TDF tubulopathy in some individuals88Nelson, M. R.,</w:t>
      </w:r>
      <w:r>
        <w:t xml:space="preserve"> </w:t>
      </w:r>
      <w:r>
        <w:t xml:space="preserve">Katlama, C., Montaner, J. S., Cooper, D. A., Gazzard, B., Clotet, B.,</w:t>
      </w:r>
      <w:r>
        <w:t xml:space="preserve"> </w:t>
      </w:r>
      <w:r>
        <w:t xml:space="preserve">Lazzarin, A., Schewe, K., Lange, J., Wyatt, C., Curtis, S., Chen, S. S.,</w:t>
      </w:r>
      <w:r>
        <w:t xml:space="preserve"> </w:t>
      </w:r>
      <w:r>
        <w:t xml:space="preserve">Smith, S., Bischofberger, N., &amp; Rooney, J. F. (2007). The safety of</w:t>
      </w:r>
      <w:r>
        <w:t xml:space="preserve"> </w:t>
      </w:r>
      <w:r>
        <w:t xml:space="preserve">tenofovir disoproxil fumarate for the treatment of HIV infection in</w:t>
      </w:r>
      <w:r>
        <w:t xml:space="preserve"> </w:t>
      </w:r>
      <w:r>
        <w:t xml:space="preserve">adults: the first 4 years. </w:t>
      </w:r>
      <w:r>
        <w:rPr>
          <w:i/>
        </w:rPr>
        <w:t xml:space="preserve">AIDS (London, England)</w:t>
      </w:r>
      <w:r>
        <w:t xml:space="preserve"> </w:t>
      </w:r>
      <w:r>
        <w:t xml:space="preserve">, </w:t>
      </w:r>
      <w:r>
        <w:rPr>
          <w:i/>
        </w:rPr>
        <w:t xml:space="preserve">21</w:t>
      </w:r>
      <w:r>
        <w:t xml:space="preserve"> </w:t>
      </w:r>
      <w:r>
        <w:t xml:space="preserve">(10), 1273–1281. https://doi.org/10.1097/QAD.0b013e3280b07b33. The</w:t>
      </w:r>
      <w:r>
        <w:t xml:space="preserve"> </w:t>
      </w:r>
      <w:r>
        <w:t xml:space="preserve">diagnostic criteria for TDF related Fanconi syndrome include</w:t>
      </w:r>
      <w:r>
        <w:t xml:space="preserve"> </w:t>
      </w:r>
      <w:r>
        <w:t xml:space="preserve">normoglycemic glycosuria, proteinuria and hypophosphatemia with</w:t>
      </w:r>
      <w:r>
        <w:t xml:space="preserve"> </w:t>
      </w:r>
      <w:r>
        <w:t xml:space="preserve">phosphaturia 99Rao, M., Dadey, L., Glowa, T., &amp; Veldkamp, P. (2021).</w:t>
      </w:r>
      <w:r>
        <w:t xml:space="preserve"> </w:t>
      </w:r>
      <w:r>
        <w:t xml:space="preserve">Fanconi Syndrome Leading to Hypophosphatemic Osteomalacia Related to</w:t>
      </w:r>
      <w:r>
        <w:t xml:space="preserve"> </w:t>
      </w:r>
      <w:r>
        <w:t xml:space="preserve">Tenofovir Use. </w:t>
      </w:r>
      <w:r>
        <w:rPr>
          <w:i/>
        </w:rPr>
        <w:t xml:space="preserve">Infectious disease reports</w:t>
      </w:r>
      <w:r>
        <w:t xml:space="preserve"> </w:t>
      </w:r>
      <w:r>
        <w:t xml:space="preserve">, </w:t>
      </w:r>
      <w:r>
        <w:rPr>
          <w:i/>
        </w:rPr>
        <w:t xml:space="preserve">13</w:t>
      </w:r>
      <w:r>
        <w:t xml:space="preserve"> </w:t>
      </w:r>
      <w:r>
        <w:t xml:space="preserve">(2),</w:t>
      </w:r>
      <w:r>
        <w:t xml:space="preserve"> </w:t>
      </w:r>
      <w:r>
        <w:t xml:space="preserve">448–453. https://doi.org/10.3390/idr13020044 that can be screened for,</w:t>
      </w:r>
      <w:r>
        <w:t xml:space="preserve"> </w:t>
      </w:r>
      <w:r>
        <w:t xml:space="preserve">through urine and blood tests. Reliance on elevations in eGFR and urine</w:t>
      </w:r>
      <w:r>
        <w:t xml:space="preserve"> </w:t>
      </w:r>
      <w:r>
        <w:t xml:space="preserve">albumin/creatinine ratio, may lead to missed diagnoses due to their poor</w:t>
      </w:r>
      <w:r>
        <w:t xml:space="preserve"> </w:t>
      </w:r>
      <w:r>
        <w:t xml:space="preserve">sensitivity as markers of proximal tubular function1010Mothobi NZ,</w:t>
      </w:r>
      <w:r>
        <w:t xml:space="preserve"> </w:t>
      </w:r>
      <w:r>
        <w:t xml:space="preserve">Masters J, Marriott DJ. Fanconi syndrome due to tenofovir disoproxil</w:t>
      </w:r>
      <w:r>
        <w:t xml:space="preserve"> </w:t>
      </w:r>
      <w:r>
        <w:t xml:space="preserve">fumarate reversed by switching to tenofovir alafenamide fumarate in an</w:t>
      </w:r>
      <w:r>
        <w:t xml:space="preserve"> </w:t>
      </w:r>
      <w:r>
        <w:t xml:space="preserve">HIV-infected patient. </w:t>
      </w:r>
      <w:r>
        <w:rPr>
          <w:i/>
        </w:rPr>
        <w:t xml:space="preserve">Therapeutic Advances in Infectious Disease</w:t>
      </w:r>
      <w:r>
        <w:t xml:space="preserve"> </w:t>
      </w:r>
      <w:r>
        <w:t xml:space="preserve">. 2018;5(5):91-95. doi:10.1177/2049936118785497.</w:t>
      </w:r>
    </w:p>
    <w:p>
      <w:pPr>
        <w:pStyle w:val="BodyText"/>
      </w:pPr>
      <w:r>
        <w:t xml:space="preserve">Approximately half of the patients attain partial or full recovery of</w:t>
      </w:r>
      <w:r>
        <w:t xml:space="preserve"> </w:t>
      </w:r>
      <w:r>
        <w:t xml:space="preserve">renal function after 1 year of TDF discontinuation, defined as</w:t>
      </w:r>
      <w:r>
        <w:t xml:space="preserve"> </w:t>
      </w:r>
      <w:r>
        <w:t xml:space="preserve">&gt;70% of pre- TDF creatinine clearance with majority of</w:t>
      </w:r>
      <w:r>
        <w:t xml:space="preserve"> </w:t>
      </w:r>
      <w:r>
        <w:t xml:space="preserve">major markers of proximal tubulopathy resolving within 8 weeks of drug</w:t>
      </w:r>
      <w:r>
        <w:t xml:space="preserve"> </w:t>
      </w:r>
      <w:r>
        <w:t xml:space="preserve">discontinuation1111Samir K. Gupta, A. M.-G. (2014, March). Fanconi</w:t>
      </w:r>
      <w:r>
        <w:t xml:space="preserve"> </w:t>
      </w:r>
      <w:r>
        <w:t xml:space="preserve">Syndrome Accompanied by Renal Function Decline with Tenofovir Disoproxil</w:t>
      </w:r>
      <w:r>
        <w:t xml:space="preserve"> </w:t>
      </w:r>
      <w:r>
        <w:t xml:space="preserve">Fumarate: A Prospective, Case-Control Study of Predictors and Resolution</w:t>
      </w:r>
      <w:r>
        <w:t xml:space="preserve"> </w:t>
      </w:r>
      <w:r>
        <w:t xml:space="preserve">in HIV-Infected Patients. PLOS ONE, 9(3), 1-7. Retrieved from</w:t>
      </w:r>
      <w:r>
        <w:t xml:space="preserve"> </w:t>
      </w:r>
      <w:r>
        <w:t xml:space="preserve">https://journals.plos.org/plosone/article/file?id=10.1371/journal.pone.0092717&amp;type=printable.</w:t>
      </w:r>
      <w:r>
        <w:t xml:space="preserve"> </w:t>
      </w:r>
      <w:r>
        <w:t xml:space="preserve">However, full reversibility of TDF –related renal toxicity is not</w:t>
      </w:r>
      <w:r>
        <w:t xml:space="preserve"> </w:t>
      </w:r>
      <w:r>
        <w:t xml:space="preserve">always the rule1212Wever, K., van Agtmael, M. A., &amp; Carr, A. (2010).</w:t>
      </w:r>
      <w:r>
        <w:t xml:space="preserve"> </w:t>
      </w:r>
      <w:r>
        <w:t xml:space="preserve">Incomplete reversibility of tenofovir-related renal toxicity in</w:t>
      </w:r>
      <w:r>
        <w:t xml:space="preserve"> </w:t>
      </w:r>
      <w:r>
        <w:t xml:space="preserve">HIV-infected men. </w:t>
      </w:r>
      <w:r>
        <w:rPr>
          <w:i/>
        </w:rPr>
        <w:t xml:space="preserve">Journal of acquired immune deficiency syndromes</w:t>
      </w:r>
      <w:r>
        <w:rPr>
          <w:i/>
        </w:rPr>
        <w:t xml:space="preserve"> </w:t>
      </w:r>
      <w:r>
        <w:rPr>
          <w:i/>
        </w:rPr>
        <w:t xml:space="preserve">(1999)</w:t>
      </w:r>
      <w:r>
        <w:t xml:space="preserve"> </w:t>
      </w:r>
      <w:r>
        <w:t xml:space="preserve">, </w:t>
      </w:r>
      <w:r>
        <w:rPr>
          <w:i/>
        </w:rPr>
        <w:t xml:space="preserve">55</w:t>
      </w:r>
      <w:r>
        <w:t xml:space="preserve"> </w:t>
      </w:r>
      <w:r>
        <w:t xml:space="preserve">(1), 78–81.</w:t>
      </w:r>
      <w:r>
        <w:t xml:space="preserve"> </w:t>
      </w:r>
      <w:r>
        <w:t xml:space="preserve">https://doi.org/10.1097/QAI.0b013e3181d05579. Early switching of TDF in</w:t>
      </w:r>
      <w:r>
        <w:t xml:space="preserve"> </w:t>
      </w:r>
      <w:r>
        <w:t xml:space="preserve">patients with proximal renal tubulopathy has been associated with better</w:t>
      </w:r>
      <w:r>
        <w:t xml:space="preserve"> </w:t>
      </w:r>
      <w:r>
        <w:t xml:space="preserve">chances of complete renal recovery as well as low levels of urine</w:t>
      </w:r>
      <w:r>
        <w:t xml:space="preserve"> </w:t>
      </w:r>
      <w:r>
        <w:t xml:space="preserve">dipstick proteinuria at the time of discontinuation1313Patamatamkul, S.,</w:t>
      </w:r>
      <w:r>
        <w:t xml:space="preserve"> </w:t>
      </w:r>
      <w:r>
        <w:t xml:space="preserve">Songumpai, N., Payoong, P., Katavetin, P., &amp; Putcharoen, O. (2022).</w:t>
      </w:r>
      <w:r>
        <w:t xml:space="preserve"> </w:t>
      </w:r>
      <w:r>
        <w:t xml:space="preserve">Early switching of tenofovir disoproxil fumarate (TDF) in HIV-infected</w:t>
      </w:r>
      <w:r>
        <w:t xml:space="preserve"> </w:t>
      </w:r>
      <w:r>
        <w:t xml:space="preserve">patients with TDF-induced nephrotoxicity: a prospective study. </w:t>
      </w:r>
      <w:r>
        <w:rPr>
          <w:i/>
        </w:rPr>
        <w:t xml:space="preserve">HIV</w:t>
      </w:r>
      <w:r>
        <w:rPr>
          <w:i/>
        </w:rPr>
        <w:t xml:space="preserve"> </w:t>
      </w:r>
      <w:r>
        <w:rPr>
          <w:i/>
        </w:rPr>
        <w:t xml:space="preserve">research &amp; clinical practice</w:t>
      </w:r>
      <w:r>
        <w:t xml:space="preserve"> </w:t>
      </w:r>
      <w:r>
        <w:t xml:space="preserve">, </w:t>
      </w:r>
      <w:r>
        <w:rPr>
          <w:i/>
        </w:rPr>
        <w:t xml:space="preserve">23</w:t>
      </w:r>
      <w:r>
        <w:t xml:space="preserve"> </w:t>
      </w:r>
      <w:r>
        <w:t xml:space="preserve">(1), 99–106..</w:t>
      </w:r>
    </w:p>
    <w:p>
      <w:pPr>
        <w:pStyle w:val="BodyText"/>
      </w:pPr>
      <w:r>
        <w:t xml:space="preserve">This case illustrates a patient from an underserved region of a Low</w:t>
      </w:r>
      <w:r>
        <w:t xml:space="preserve"> </w:t>
      </w:r>
      <w:r>
        <w:t xml:space="preserve">Middle-Income Country on Tenofovir based regimen for 12 years. She has</w:t>
      </w:r>
      <w:r>
        <w:t xml:space="preserve"> </w:t>
      </w:r>
      <w:r>
        <w:t xml:space="preserve">excellent adherence as confirmed by the consistent undetectable viral</w:t>
      </w:r>
      <w:r>
        <w:t xml:space="preserve"> </w:t>
      </w:r>
      <w:r>
        <w:t xml:space="preserve">load. However, she is unable to afford annual renal function tests as</w:t>
      </w:r>
      <w:r>
        <w:t xml:space="preserve"> </w:t>
      </w:r>
      <w:r>
        <w:t xml:space="preserve">recommended by HAART guidelines1414Izzedine H, Hulot JS, Vittecoq D, et</w:t>
      </w:r>
      <w:r>
        <w:t xml:space="preserve"> </w:t>
      </w:r>
      <w:r>
        <w:t xml:space="preserve">al. Long-term renal safety of tenofovir disoproxil fumarate in</w:t>
      </w:r>
      <w:r>
        <w:t xml:space="preserve"> </w:t>
      </w:r>
      <w:r>
        <w:t xml:space="preserve">antiretroviral-naive HIV-1-infected patients: data from a double-blind</w:t>
      </w:r>
      <w:r>
        <w:t xml:space="preserve"> </w:t>
      </w:r>
      <w:r>
        <w:t xml:space="preserve">randomized active-controlled multicentre study, Nephrol Dial Transplant,</w:t>
      </w:r>
      <w:r>
        <w:t xml:space="preserve"> </w:t>
      </w:r>
      <w:r>
        <w:t xml:space="preserve">2005, vol. 20 (pg. 743-6). It follows a trivial fall with persistent and</w:t>
      </w:r>
      <w:r>
        <w:t xml:space="preserve"> </w:t>
      </w:r>
      <w:r>
        <w:t xml:space="preserve">worsening body and bone pains that the patient gets to be admitted.</w:t>
      </w:r>
      <w:r>
        <w:t xml:space="preserve"> </w:t>
      </w:r>
      <w:r>
        <w:t xml:space="preserve">Further work up revealed normoglycemic glycosuria, increase in</w:t>
      </w:r>
      <w:r>
        <w:t xml:space="preserve"> </w:t>
      </w:r>
      <w:r>
        <w:t xml:space="preserve">creatinine with declining glomerular filtration rate (GFR), proteinuria,</w:t>
      </w:r>
      <w:r>
        <w:t xml:space="preserve"> </w:t>
      </w:r>
      <w:r>
        <w:t xml:space="preserve">hypouricemia, hyperchloremia, hypocalcemia and osteopenia. These</w:t>
      </w:r>
      <w:r>
        <w:t xml:space="preserve"> </w:t>
      </w:r>
      <w:r>
        <w:t xml:space="preserve">laboratory findings are in keeping with FS where 5 out of 7 nondiabetic</w:t>
      </w:r>
      <w:r>
        <w:t xml:space="preserve"> </w:t>
      </w:r>
      <w:r>
        <w:t xml:space="preserve">patients biopsied for Tenofovir nephrotoxicity had glycosuria with</w:t>
      </w:r>
      <w:r>
        <w:t xml:space="preserve"> </w:t>
      </w:r>
      <w:r>
        <w:t xml:space="preserve">increased serum creatinine1515Herlitz LC, Mohan S, Stokes MB,</w:t>
      </w:r>
      <w:r>
        <w:t xml:space="preserve"> </w:t>
      </w:r>
      <w:r>
        <w:t xml:space="preserve">Radhakrishnan J, D’Agati VD, Markowitz GS. Tenofovir nephrotoxicity:</w:t>
      </w:r>
      <w:r>
        <w:t xml:space="preserve"> </w:t>
      </w:r>
      <w:r>
        <w:t xml:space="preserve">acute tubular necrosis with distinctive clinical, pathological, and</w:t>
      </w:r>
      <w:r>
        <w:t xml:space="preserve"> </w:t>
      </w:r>
      <w:r>
        <w:t xml:space="preserve">mitochondrial abnormalities. Kidney International.</w:t>
      </w:r>
      <w:r>
        <w:t xml:space="preserve"> </w:t>
      </w:r>
      <w:r>
        <w:t xml:space="preserve">2010;78(11):1171–1177. Inability to do Arterial Blood Gases and</w:t>
      </w:r>
      <w:r>
        <w:t xml:space="preserve"> </w:t>
      </w:r>
      <w:r>
        <w:t xml:space="preserve">phosphates in the resource limited regions further stifles the ability</w:t>
      </w:r>
      <w:r>
        <w:t xml:space="preserve"> </w:t>
      </w:r>
      <w:r>
        <w:t xml:space="preserve">to clinch the diagnosis earlier1616Badiou S, Merle De Boever C, Terrier</w:t>
      </w:r>
      <w:r>
        <w:t xml:space="preserve"> </w:t>
      </w:r>
      <w:r>
        <w:t xml:space="preserve">N, Baillat V, Cristol JP, Reynes J. Is tenofovir involved in</w:t>
      </w:r>
      <w:r>
        <w:t xml:space="preserve"> </w:t>
      </w:r>
      <w:r>
        <w:t xml:space="preserve">hypophosphatemia and decrease of tubular phosphate reabsorption in</w:t>
      </w:r>
      <w:r>
        <w:t xml:space="preserve"> </w:t>
      </w:r>
      <w:r>
        <w:t xml:space="preserve">HIV-positive adults? Journal of Infection. 2006;52(5):335–338.. The</w:t>
      </w:r>
      <w:r>
        <w:t xml:space="preserve"> </w:t>
      </w:r>
      <w:r>
        <w:t xml:space="preserve">bone pain and generalized body aches are possibly a consequence of</w:t>
      </w:r>
      <w:r>
        <w:t xml:space="preserve"> </w:t>
      </w:r>
      <w:r>
        <w:t xml:space="preserve">osteomalacia, which is a late manifestation of proximal tubulopathy</w:t>
      </w:r>
      <w:r>
        <w:t xml:space="preserve"> </w:t>
      </w:r>
      <w:r>
        <w:t xml:space="preserve">secondary to phosphate wasting and/calcitriol deficiency, since</w:t>
      </w:r>
      <w:r>
        <w:t xml:space="preserve"> </w:t>
      </w:r>
      <w:r>
        <w:t xml:space="preserve">calcitriol is synthesized by the mitochondria in the proximal</w:t>
      </w:r>
      <w:r>
        <w:t xml:space="preserve"> </w:t>
      </w:r>
      <w:r>
        <w:t xml:space="preserve">tubules1717Perrot S, Aslangul E, Szwebel T, Caillat-Vigneron N, Le</w:t>
      </w:r>
      <w:r>
        <w:t xml:space="preserve"> </w:t>
      </w:r>
      <w:r>
        <w:t xml:space="preserve">Jeunne C. Bone pain due to fractures revealing osteomalacia related to</w:t>
      </w:r>
      <w:r>
        <w:t xml:space="preserve"> </w:t>
      </w:r>
      <w:r>
        <w:t xml:space="preserve">tenofovir-induced proximal renal tubular dysfunction in a human</w:t>
      </w:r>
      <w:r>
        <w:t xml:space="preserve"> </w:t>
      </w:r>
      <w:r>
        <w:t xml:space="preserve">immunodeficiency virus-infected patient. Journal of Clinical</w:t>
      </w:r>
      <w:r>
        <w:t xml:space="preserve"> </w:t>
      </w:r>
      <w:r>
        <w:t xml:space="preserve">Rheumatology. 2009;15(2):72–74 .</w:t>
      </w:r>
    </w:p>
    <w:p>
      <w:pPr>
        <w:pStyle w:val="BodyText"/>
      </w:pPr>
      <w:r>
        <w:t xml:space="preserve">The proposed risk factors in this case includes and is not limited to</w:t>
      </w:r>
      <w:r>
        <w:t xml:space="preserve"> </w:t>
      </w:r>
      <w:r>
        <w:t xml:space="preserve">prolonged TDF use1818Woodward C, Hall A, Williams I,</w:t>
      </w:r>
      <w:r>
        <w:t xml:space="preserve"> </w:t>
      </w:r>
      <w:r>
        <w:t xml:space="preserve">Tenofovir-associated renal and bone toxicity. HIV Med 2009;10(8):482-7,</w:t>
      </w:r>
      <w:r>
        <w:t xml:space="preserve"> </w:t>
      </w:r>
      <w:r>
        <w:t xml:space="preserve">low body weight and advanced age1919Nelson MR, Katlama C, Montaner JS,</w:t>
      </w:r>
      <w:r>
        <w:t xml:space="preserve"> </w:t>
      </w:r>
      <w:r>
        <w:t xml:space="preserve">et al. The safety of tenofovir disoproxil fumarate for the treatment of</w:t>
      </w:r>
      <w:r>
        <w:t xml:space="preserve"> </w:t>
      </w:r>
      <w:r>
        <w:t xml:space="preserve">HIV infection in adults: the first 4 years. AIDS.</w:t>
      </w:r>
      <w:r>
        <w:t xml:space="preserve"> </w:t>
      </w:r>
      <w:r>
        <w:t xml:space="preserve">2007;21(10):1273–1281.. The patient symptoms and renal function</w:t>
      </w:r>
      <w:r>
        <w:t xml:space="preserve"> </w:t>
      </w:r>
      <w:r>
        <w:t xml:space="preserve">markedly improved following TDF discontinuation. 6 weeks later, she had</w:t>
      </w:r>
      <w:r>
        <w:t xml:space="preserve"> </w:t>
      </w:r>
      <w:r>
        <w:t xml:space="preserve">no glycosuria, proteinuria, hypocalcemia and had reduced creatinine</w:t>
      </w:r>
      <w:r>
        <w:t xml:space="preserve"> </w:t>
      </w:r>
      <w:r>
        <w:t xml:space="preserve">levels. Alexandre Karras et al2020Karras A, Lafaurie M, Furco A,</w:t>
      </w:r>
      <w:r>
        <w:t xml:space="preserve"> </w:t>
      </w:r>
      <w:r>
        <w:t xml:space="preserve">Bourgarit A, Droz D, Sereni D, Legendre C, Martinez F, Molina JM.</w:t>
      </w:r>
      <w:r>
        <w:t xml:space="preserve"> </w:t>
      </w:r>
      <w:r>
        <w:t xml:space="preserve">Tenofovir-related nephrotoxicity in human immunodeficiency</w:t>
      </w:r>
      <w:r>
        <w:t xml:space="preserve"> </w:t>
      </w:r>
      <w:r>
        <w:t xml:space="preserve">virus-infected patients: three cases of renal failure, Fanconi syndrome,</w:t>
      </w:r>
      <w:r>
        <w:t xml:space="preserve"> </w:t>
      </w:r>
      <w:r>
        <w:t xml:space="preserve">and nephrogenic diabetes insipidus. Clin Infect Dis. 2003 Apr</w:t>
      </w:r>
      <w:r>
        <w:t xml:space="preserve"> </w:t>
      </w:r>
      <w:r>
        <w:t xml:space="preserve">15;36(8):1070-3. doi: 10.1086/368314. Epub 2003 Apr 4. PMID: 12684922.</w:t>
      </w:r>
      <w:r>
        <w:t xml:space="preserve"> </w:t>
      </w:r>
      <w:r>
        <w:t xml:space="preserve">reported that most of laboratory values in TDF tubulopathy returned to</w:t>
      </w:r>
      <w:r>
        <w:t xml:space="preserve"> </w:t>
      </w:r>
      <w:r>
        <w:t xml:space="preserve">normal following its discontinuation.</w:t>
      </w:r>
    </w:p>
    <w:p>
      <w:pPr>
        <w:pStyle w:val="BodyText"/>
      </w:pPr>
      <w:r>
        <w:t xml:space="preserve">In conclusion, we would like to emphasize the need for routine</w:t>
      </w:r>
      <w:r>
        <w:t xml:space="preserve"> </w:t>
      </w:r>
      <w:r>
        <w:t xml:space="preserve">monitoring of renal function of patients on TDF based regimen for</w:t>
      </w:r>
      <w:r>
        <w:t xml:space="preserve"> </w:t>
      </w:r>
      <w:r>
        <w:t xml:space="preserve">nephrotoxicity, even years after initiation of drugs. On any occasion</w:t>
      </w:r>
      <w:r>
        <w:t xml:space="preserve"> </w:t>
      </w:r>
      <w:r>
        <w:t xml:space="preserve">TDF tubulopathy signs are recognized, the drug should be stopped to</w:t>
      </w:r>
      <w:r>
        <w:t xml:space="preserve"> </w:t>
      </w:r>
      <w:r>
        <w:t xml:space="preserve">prevent further complications.</w:t>
      </w:r>
    </w:p>
    <w:p>
      <w:pPr>
        <w:pStyle w:val="BodyText"/>
      </w:pPr>
      <w:r>
        <w:rPr>
          <w:b/>
        </w:rPr>
        <w:t xml:space="preserve">Hosted file</w:t>
      </w:r>
    </w:p>
    <w:p>
      <w:pPr>
        <w:pStyle w:val="BodyText"/>
      </w:pPr>
      <w:r>
        <w:rPr>
          <w:rStyle w:val="VerbatimChar"/>
        </w:rPr>
        <w:t xml:space="preserve">Table.docx</w:t>
      </w:r>
      <w:r>
        <w:t xml:space="preserve"> </w:t>
      </w:r>
      <w:r>
        <w:t xml:space="preserve">available at</w:t>
      </w:r>
      <w:r>
        <w:t xml:space="preserve"> </w:t>
      </w:r>
      <w:hyperlink r:id="rId23">
        <w:r>
          <w:rPr>
            <w:rStyle w:val="Hyperlink"/>
          </w:rPr>
          <w:t xml:space="preserve">https://authorea.com/users/665786/articles/666830-tenofovir-induced-fanconi-syndrome-in-a-middle-age-african-female-from-kenya-east-africa-case-report-and-brief-literature-review</w:t>
        </w:r>
      </w:hyperlink>
    </w:p>
    <w:p>
      <w:pPr>
        <w:pStyle w:val="BodyText"/>
      </w:pPr>
      <w:r>
        <w:rPr>
          <w:b/>
        </w:rPr>
        <w:t xml:space="preserve">Hosted file</w:t>
      </w:r>
    </w:p>
    <w:p>
      <w:pPr>
        <w:pStyle w:val="BodyText"/>
      </w:pPr>
      <w:r>
        <w:rPr>
          <w:rStyle w:val="VerbatimChar"/>
        </w:rPr>
        <w:t xml:space="preserve">Figures.docx</w:t>
      </w:r>
      <w:r>
        <w:t xml:space="preserve"> </w:t>
      </w:r>
      <w:r>
        <w:t xml:space="preserve">available at</w:t>
      </w:r>
      <w:r>
        <w:t xml:space="preserve"> </w:t>
      </w:r>
      <w:hyperlink r:id="rId23">
        <w:r>
          <w:rPr>
            <w:rStyle w:val="Hyperlink"/>
          </w:rPr>
          <w:t xml:space="preserve">https://authorea.com/users/665786/articles/666830-tenofovir-induced-fanconi-syndrome-in-a-middle-age-african-female-from-kenya-east-africa-case-report-and-brief-literature-review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e04908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hyperlink" Id="rId23" Target="https://authorea.com/users/665786/articles/666830-tenofovir-induced-fanconi-syndrome-in-a-middle-age-african-female-from-kenya-east-africa-case-report-and-brief-literature-review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s://authorea.com/users/665786/articles/666830-tenofovir-induced-fanconi-syndrome-in-a-middle-age-african-female-from-kenya-east-africa-case-report-and-brief-literature-revie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TENOFOVIR INDUCED FANCONI SYNDROME IN A MIDDLE AGE AFRICAN FEMALE FROM KENYA, EAST AFRICA: CASE REPORT AND BRIEF LITERATURE REVIEW</dc:title>
  <dc:creator>Fredrick Otieno; Nareeba Shallot; Grace Mkanjala; Ann Wangari; Vashti Nyangau</dc:creator>
  <dcterms:created xsi:type="dcterms:W3CDTF">2023-12-13T15:44:50Z</dcterms:created>
  <dcterms:modified xsi:type="dcterms:W3CDTF">2023-12-13T15:44:50Z</dcterms:modified>
</cp:coreProperties>
</file>