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1.svg" ContentType="image/svg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Office</w:t>
      </w:r>
      <w:r>
        <w:t xml:space="preserve"> </w:t>
      </w:r>
      <w:r>
        <w:t xml:space="preserve">Opioid</w:t>
      </w:r>
      <w:r>
        <w:t xml:space="preserve"> </w:t>
      </w:r>
      <w:r>
        <w:t xml:space="preserve">Prescriptions</w:t>
      </w:r>
      <w:r>
        <w:t xml:space="preserve"> </w:t>
      </w:r>
      <w:r>
        <w:t xml:space="preserve">at</w:t>
      </w:r>
      <w:r>
        <w:t xml:space="preserve"> </w:t>
      </w:r>
      <w:r>
        <w:t xml:space="preserve">a</w:t>
      </w:r>
      <w:r>
        <w:t xml:space="preserve"> </w:t>
      </w:r>
      <w:r>
        <w:t xml:space="preserve">Large</w:t>
      </w:r>
      <w:r>
        <w:t xml:space="preserve"> </w:t>
      </w:r>
      <w:r>
        <w:t xml:space="preserve">Hospital</w:t>
      </w:r>
      <w:r>
        <w:t xml:space="preserve"> </w:t>
      </w:r>
      <w:r>
        <w:t xml:space="preserve">System</w:t>
      </w:r>
      <w:r>
        <w:t xml:space="preserve"> </w:t>
      </w:r>
      <w:r>
        <w:t xml:space="preserve">in</w:t>
      </w:r>
      <w:r>
        <w:t xml:space="preserve"> </w:t>
      </w:r>
      <w:r>
        <w:t xml:space="preserve">Northeast</w:t>
      </w:r>
      <w:r>
        <w:t xml:space="preserve"> </w:t>
      </w:r>
      <w:r>
        <w:t xml:space="preserve">Ohio:</w:t>
      </w:r>
      <w:r>
        <w:t xml:space="preserve"> </w:t>
      </w:r>
      <w:r>
        <w:t xml:space="preserve">Assessing</w:t>
      </w:r>
      <w:r>
        <w:t xml:space="preserve"> </w:t>
      </w:r>
      <w:r>
        <w:t xml:space="preserve">Compliance</w:t>
      </w:r>
      <w:r>
        <w:t xml:space="preserve"> </w:t>
      </w:r>
      <w:r>
        <w:t xml:space="preserve">with</w:t>
      </w:r>
      <w:r>
        <w:t xml:space="preserve"> </w:t>
      </w:r>
      <w:r>
        <w:t xml:space="preserve">Norms      </w:t>
      </w:r>
    </w:p>
    <w:p>
      <w:pPr>
        <w:pStyle w:val="Author"/>
      </w:pPr>
      <w:r>
        <w:t xml:space="preserve">Nakul</w:t>
      </w:r>
      <w:r>
        <w:t xml:space="preserve"> </w:t>
      </w:r>
      <w:r>
        <w:t xml:space="preserve">Singh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    In spite of strict laws governing opioid manufacture, sale, and</w:t>
      </w:r>
      <w:r>
        <w:t xml:space="preserve"> </w:t>
      </w:r>
      <w:r>
        <w:t xml:space="preserve">distribution, an opioid crisis has developed in the United States. The</w:t>
      </w:r>
      <w:r>
        <w:t xml:space="preserve"> </w:t>
      </w:r>
      <w:r>
        <w:t xml:space="preserve">opioid crisis is defined by increasingly high prevalence of prescription</w:t>
      </w:r>
      <w:r>
        <w:t xml:space="preserve"> </w:t>
      </w:r>
      <w:r>
        <w:t xml:space="preserve">(i.e. oxycodone) and non-prescription opioid (i.e. heroin, non medical</w:t>
      </w:r>
      <w:r>
        <w:t xml:space="preserve"> </w:t>
      </w:r>
      <w:r>
        <w:t xml:space="preserve">fentanyl) addiction with attendant high rates of associated</w:t>
      </w:r>
      <w:r>
        <w:t xml:space="preserve"> </w:t>
      </w:r>
      <w:r>
        <w:t xml:space="preserve">complications (overdose, infections associated with intravenous drug</w:t>
      </w:r>
      <w:r>
        <w:t xml:space="preserve"> </w:t>
      </w:r>
      <w:r>
        <w:t xml:space="preserve">use, neonatal abstinence syndrome, lost productivity,</w:t>
      </w:r>
      <w:r>
        <w:t xml:space="preserve"> </w:t>
      </w:r>
      <w:r>
        <w:t xml:space="preserve">etc)(Kolodny et al. 2015) It is estimated that in 2016, 11.4 million</w:t>
      </w:r>
      <w:r>
        <w:t xml:space="preserve"> </w:t>
      </w:r>
      <w:r>
        <w:t xml:space="preserve">Americans misused opioids in the past year and 2.4 million Americans</w:t>
      </w:r>
      <w:r>
        <w:t xml:space="preserve"> </w:t>
      </w:r>
      <w:r>
        <w:t xml:space="preserve">suffer from opioid use disorder.(Ahrnsbrak et al. 2017) Opioids were</w:t>
      </w:r>
      <w:r>
        <w:t xml:space="preserve"> </w:t>
      </w:r>
      <w:r>
        <w:t xml:space="preserve">associated with 42,249 deaths in 2016, representing a quintupling from</w:t>
      </w:r>
      <w:r>
        <w:t xml:space="preserve"> </w:t>
      </w:r>
      <w:r>
        <w:t xml:space="preserve">17 years prior, with signs of accelerating increases.(Seth et al. 2018)</w:t>
      </w:r>
      <w:r>
        <w:t xml:space="preserve"> </w:t>
      </w:r>
      <w:r>
        <w:t xml:space="preserve">The Council of Economic Advisers estimates that the epidemic cost the</w:t>
      </w:r>
      <w:r>
        <w:t xml:space="preserve"> </w:t>
      </w:r>
      <w:r>
        <w:t xml:space="preserve">United States roughly 504 billion dollars in 2016.(The Council of Economic Advisers 2017) Of</w:t>
      </w:r>
      <w:r>
        <w:t xml:space="preserve"> </w:t>
      </w:r>
      <w:r>
        <w:t xml:space="preserve">note, Ohio is one area that is acutely affected by the opioid crisis:</w:t>
      </w:r>
      <w:r>
        <w:t xml:space="preserve"> </w:t>
      </w:r>
      <w:r>
        <w:t xml:space="preserve">the Ohio’s age-adjusted drug overdose rate in 2016 was 35.8 per 100,000</w:t>
      </w:r>
      <w:r>
        <w:t xml:space="preserve"> </w:t>
      </w:r>
      <w:r>
        <w:t xml:space="preserve">almost three times the national average (13.3 per 100,000), the third</w:t>
      </w:r>
      <w:r>
        <w:t xml:space="preserve"> </w:t>
      </w:r>
      <w:r>
        <w:t xml:space="preserve">highest in the nation.(Seth et al. 2018)</w:t>
      </w:r>
    </w:p>
    <w:p>
      <w:pPr>
        <w:pStyle w:val="BodyText"/>
      </w:pPr>
      <w:r>
        <w:t xml:space="preserve">            While the opioid crisis has many causes and aggravating</w:t>
      </w:r>
      <w:r>
        <w:t xml:space="preserve"> </w:t>
      </w:r>
      <w:r>
        <w:t xml:space="preserve">factors, one significant driver of the crisis is the widespread</w:t>
      </w:r>
      <w:r>
        <w:t xml:space="preserve"> </w:t>
      </w:r>
      <w:r>
        <w:t xml:space="preserve">availability of medically prescribed opioids.(Kolodny et al. 2015) Opioid</w:t>
      </w:r>
      <w:r>
        <w:t xml:space="preserve"> </w:t>
      </w:r>
      <w:r>
        <w:t xml:space="preserve">prescriptions per capita increased from 180 Morphine Equivalents (ME)</w:t>
      </w:r>
      <w:r>
        <w:t xml:space="preserve"> </w:t>
      </w:r>
      <w:r>
        <w:t xml:space="preserve">per 100 persons to 782 ME per 100 persons from 1999 year to</w:t>
      </w:r>
      <w:r>
        <w:t xml:space="preserve"> </w:t>
      </w:r>
      <w:r>
        <w:t xml:space="preserve">2010.(Guy et al. 2017) Concomitantly, the rate of medical and</w:t>
      </w:r>
      <w:r>
        <w:t xml:space="preserve"> </w:t>
      </w:r>
      <w:r>
        <w:t xml:space="preserve">nonmedical opioid overdoses has tripled since 2000.(Rudd et al. 2016)</w:t>
      </w:r>
      <w:r>
        <w:t xml:space="preserve"> </w:t>
      </w:r>
      <w:r>
        <w:t xml:space="preserve">Roughly 60% of opioid overdoses involved a prescription drug. Further,</w:t>
      </w:r>
      <w:r>
        <w:t xml:space="preserve"> </w:t>
      </w:r>
      <w:r>
        <w:t xml:space="preserve">it is hypothesized that wide availability of prescription opioids has</w:t>
      </w:r>
      <w:r>
        <w:t xml:space="preserve"> </w:t>
      </w:r>
      <w:r>
        <w:t xml:space="preserve">driven increased rates of heroin use disorder; of those with heroin use</w:t>
      </w:r>
      <w:r>
        <w:t xml:space="preserve"> </w:t>
      </w:r>
      <w:r>
        <w:t xml:space="preserve">disorder, 80% had their first exposures are from medical prescriptions</w:t>
      </w:r>
      <w:r>
        <w:t xml:space="preserve"> </w:t>
      </w:r>
      <w:r>
        <w:t xml:space="preserve">to the patient, friends, or family.(Muhuri, Gfroerer, and Davies 2013)</w:t>
      </w:r>
    </w:p>
    <w:p>
      <w:pPr>
        <w:pStyle w:val="BodyText"/>
      </w:pPr>
      <w:r>
        <w:t xml:space="preserve">            In order to curtail excessive exposure to medically</w:t>
      </w:r>
      <w:r>
        <w:t xml:space="preserve"> </w:t>
      </w:r>
      <w:r>
        <w:t xml:space="preserve">prescribed opioids, several policies by several organizations have been</w:t>
      </w:r>
      <w:r>
        <w:t xml:space="preserve"> </w:t>
      </w:r>
      <w:r>
        <w:t xml:space="preserve">implemented. State Prescription Drug Monitoring Programs prescription</w:t>
      </w:r>
      <w:r>
        <w:t xml:space="preserve"> </w:t>
      </w:r>
      <w:r>
        <w:t xml:space="preserve">monitoring systems, of which the Ohio Automated Rx Reporting System</w:t>
      </w:r>
      <w:r>
        <w:t xml:space="preserve"> </w:t>
      </w:r>
      <w:r>
        <w:t xml:space="preserve">(OARRS) is an example, aim to collect all prescriptions to aid in</w:t>
      </w:r>
      <w:r>
        <w:t xml:space="preserve"> </w:t>
      </w:r>
      <w:r>
        <w:t xml:space="preserve">identifying patients engaging in aberrant behavior suggestive of opioid</w:t>
      </w:r>
      <w:r>
        <w:t xml:space="preserve"> </w:t>
      </w:r>
      <w:r>
        <w:t xml:space="preserve">use disorder.(Kolodny et al. 2015) Additionally, several regulatory,</w:t>
      </w:r>
      <w:r>
        <w:t xml:space="preserve"> </w:t>
      </w:r>
      <w:r>
        <w:t xml:space="preserve">professional, and advisory bodies have issued recommendations for opioid</w:t>
      </w:r>
      <w:r>
        <w:t xml:space="preserve"> </w:t>
      </w:r>
      <w:r>
        <w:t xml:space="preserve">prescribing. Of note, the Ohio State Board of Pharmacy has mandated that</w:t>
      </w:r>
      <w:r>
        <w:t xml:space="preserve"> </w:t>
      </w:r>
      <w:r>
        <w:t xml:space="preserve">for opioid prescriptions of acute pain should be for less than 30</w:t>
      </w:r>
      <w:r>
        <w:t xml:space="preserve"> </w:t>
      </w:r>
      <w:r>
        <w:t xml:space="preserve">Morphine Equivalent Daily Dose (MEDD) and for less than 7</w:t>
      </w:r>
      <w:r>
        <w:t xml:space="preserve"> </w:t>
      </w:r>
      <w:r>
        <w:t xml:space="preserve">days.(of Ohio Board of Pharmacy, n.d.) CDC has recommended that chronic, non-cancer</w:t>
      </w:r>
      <w:r>
        <w:t xml:space="preserve"> </w:t>
      </w:r>
      <w:r>
        <w:t xml:space="preserve">pain prescriptions should be less than 90 MEDD, with recommendations to</w:t>
      </w:r>
      <w:r>
        <w:t xml:space="preserve"> </w:t>
      </w:r>
      <w:r>
        <w:t xml:space="preserve">re-evaluate the treatment plan at least once every 3 months (90</w:t>
      </w:r>
      <w:r>
        <w:t xml:space="preserve"> </w:t>
      </w:r>
      <w:r>
        <w:t xml:space="preserve">days).(Dowell, Haegerich, and Chou 2016) </w:t>
      </w:r>
    </w:p>
    <w:p>
      <w:pPr>
        <w:pStyle w:val="BodyText"/>
      </w:pPr>
      <w:r>
        <w:t xml:space="preserve">            The potential benefit for identifying high risk prescribing</w:t>
      </w:r>
      <w:r>
        <w:t xml:space="preserve"> </w:t>
      </w:r>
      <w:r>
        <w:t xml:space="preserve">patterns is very high. It is estimated that roughly 21 to 29 % of</w:t>
      </w:r>
      <w:r>
        <w:t xml:space="preserve"> </w:t>
      </w:r>
      <w:r>
        <w:t xml:space="preserve">patients prescribed opioids for chronic pain misuse</w:t>
      </w:r>
      <w:r>
        <w:t xml:space="preserve"> </w:t>
      </w:r>
      <w:r>
        <w:t xml:space="preserve">them,(Vowles et al. 2015) 3% may develop opioid use</w:t>
      </w:r>
      <w:r>
        <w:t xml:space="preserve"> </w:t>
      </w:r>
      <w:r>
        <w:t xml:space="preserve">disorder,(Fishbain et al. 2007) with significant potential for initiating</w:t>
      </w:r>
      <w:r>
        <w:t xml:space="preserve"> </w:t>
      </w:r>
      <w:r>
        <w:t xml:space="preserve">heroin.(Carlson et al. 2016) In order to assess the need for increased</w:t>
      </w:r>
      <w:r>
        <w:t xml:space="preserve"> </w:t>
      </w:r>
      <w:r>
        <w:t xml:space="preserve">opioid stewardship at the Cleveland Clinic, it is therefore necessary to</w:t>
      </w:r>
      <w:r>
        <w:t xml:space="preserve"> </w:t>
      </w:r>
      <w:r>
        <w:t xml:space="preserve">estimate the compliance of office opioid prescriptions with these</w:t>
      </w:r>
      <w:r>
        <w:t xml:space="preserve"> </w:t>
      </w:r>
      <w:r>
        <w:t xml:space="preserve">norms. </w:t>
      </w:r>
    </w:p>
    <w:p>
      <w:pPr>
        <w:pStyle w:val="Heading1"/>
      </w:pPr>
      <w:bookmarkStart w:id="22" w:name="methods"/>
      <w:bookmarkEnd w:id="22"/>
      <w:r>
        <w:t xml:space="preserve">Methods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3" w:name="data"/>
      <w:bookmarkEnd w:id="23"/>
      <w:r>
        <w:t xml:space="preserve">Data</w:t>
      </w:r>
    </w:p>
    <w:p>
      <w:pPr>
        <w:pStyle w:val="FirstParagraph"/>
      </w:pPr>
      <w:r>
        <w:t xml:space="preserve">All outpatient opioid prescriptions at all Cleveland Clinic Foundation</w:t>
      </w:r>
      <w:r>
        <w:t xml:space="preserve"> </w:t>
      </w:r>
      <w:r>
        <w:t xml:space="preserve">facilities in Northeast Ohio ordered between January 1, 2016 – December</w:t>
      </w:r>
      <w:r>
        <w:t xml:space="preserve"> </w:t>
      </w:r>
      <w:r>
        <w:t xml:space="preserve">31, 2016.   Opioid prescriptions used for medication assisted therapy</w:t>
      </w:r>
      <w:r>
        <w:t xml:space="preserve"> </w:t>
      </w:r>
      <w:r>
        <w:t xml:space="preserve">for opioid use disorder were excluded from analysis. 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24" w:name="opioid-use"/>
      <w:bookmarkEnd w:id="24"/>
      <w:r>
        <w:t xml:space="preserve">Opioid Use</w:t>
      </w:r>
    </w:p>
    <w:p>
      <w:pPr>
        <w:pStyle w:val="FirstParagraph"/>
      </w:pPr>
      <w:r>
        <w:t xml:space="preserve">For each prescription, the free-text instruction was used to estimate</w:t>
      </w:r>
      <w:r>
        <w:t xml:space="preserve"> </w:t>
      </w:r>
      <w:r>
        <w:t xml:space="preserve">the daily dosing of the medication. If the prescription instruction was</w:t>
      </w:r>
      <w:r>
        <w:t xml:space="preserve"> </w:t>
      </w:r>
      <w:r>
        <w:t xml:space="preserve">for a range (i.e. Take 1-2 pills every 4 to 6 hours), the maximum dosing</w:t>
      </w:r>
      <w:r>
        <w:t xml:space="preserve"> </w:t>
      </w:r>
      <w:r>
        <w:t xml:space="preserve">was assumed (i.e. 12 pills per day). From the daily dose, the Morphine</w:t>
      </w:r>
      <w:r>
        <w:t xml:space="preserve"> </w:t>
      </w:r>
      <w:r>
        <w:t xml:space="preserve">Equivalents Daily Dose (MEDD) was calculated using standard</w:t>
      </w:r>
      <w:r>
        <w:t xml:space="preserve"> </w:t>
      </w:r>
      <w:r>
        <w:t xml:space="preserve">conversions. (for Medicare and Services 2017)Total opioid content in Morphine</w:t>
      </w:r>
      <w:r>
        <w:t xml:space="preserve"> </w:t>
      </w:r>
      <w:r>
        <w:t xml:space="preserve">Equivalents and start date were also extracted. </w:t>
      </w:r>
    </w:p>
    <w:p>
      <w:pPr>
        <w:pStyle w:val="BodyText"/>
      </w:pPr>
      <w:r>
        <w:t xml:space="preserve">Unless specified, the length of prescription was calculated by dividing</w:t>
      </w:r>
      <w:r>
        <w:t xml:space="preserve"> </w:t>
      </w:r>
      <w:r>
        <w:t xml:space="preserve">the total amount prescribed by the dosing instructions. For each</w:t>
      </w:r>
      <w:r>
        <w:t xml:space="preserve"> </w:t>
      </w:r>
      <w:r>
        <w:t xml:space="preserve">patient-day, all applicable prescription MEDDs were summed. We defined a</w:t>
      </w:r>
      <w:r>
        <w:t xml:space="preserve"> </w:t>
      </w:r>
      <w:r>
        <w:t xml:space="preserve">regimen to be a set of continuous patient-days with the same overlapping</w:t>
      </w:r>
      <w:r>
        <w:t xml:space="preserve"> </w:t>
      </w:r>
      <w:r>
        <w:t xml:space="preserve">prescriptions. Regimens that were greater than 365 days were truncated</w:t>
      </w:r>
      <w:r>
        <w:t xml:space="preserve"> </w:t>
      </w:r>
      <w:r>
        <w:t xml:space="preserve">at 365 days. </w:t>
      </w:r>
    </w:p>
    <w:p>
      <w:pPr>
        <w:pStyle w:val="Heading2"/>
      </w:pPr>
      <w:bookmarkStart w:id="25" w:name="provider-practices"/>
      <w:bookmarkEnd w:id="25"/>
      <w:r>
        <w:t xml:space="preserve">Provider Practices</w:t>
      </w:r>
    </w:p>
    <w:p>
      <w:pPr>
        <w:pStyle w:val="FirstParagraph"/>
      </w:pPr>
      <w:r>
        <w:t xml:space="preserve">For any given opioid regimen, more than one prescription could be a</w:t>
      </w:r>
      <w:r>
        <w:t xml:space="preserve"> </w:t>
      </w:r>
      <w:r>
        <w:t xml:space="preserve">component, and therefore, more than one provider could be involved in</w:t>
      </w:r>
      <w:r>
        <w:t xml:space="preserve"> </w:t>
      </w:r>
      <w:r>
        <w:t xml:space="preserve">any given regimen. We distinguished a provider from being involved from</w:t>
      </w:r>
      <w:r>
        <w:t xml:space="preserve"> </w:t>
      </w:r>
      <w:r>
        <w:t xml:space="preserve">being responsible. We assigned responsibility  for a given opioid</w:t>
      </w:r>
      <w:r>
        <w:t xml:space="preserve"> </w:t>
      </w:r>
      <w:r>
        <w:t xml:space="preserve">regimen to the provider who made the most recent prescription.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6" w:name="norms"/>
      <w:bookmarkEnd w:id="26"/>
      <w:r>
        <w:t xml:space="preserve">Norms</w:t>
      </w:r>
    </w:p>
    <w:p>
      <w:pPr>
        <w:pStyle w:val="FirstParagraph"/>
      </w:pPr>
      <w:r>
        <w:t xml:space="preserve">Regimens were assessed for MEDD using the guidelines of 30 and 90. We</w:t>
      </w:r>
      <w:r>
        <w:t xml:space="preserve"> </w:t>
      </w:r>
      <w:r>
        <w:t xml:space="preserve">added a higher bound level of 300. No interest was defined as ≤ 30 MEDD,</w:t>
      </w:r>
      <w:r>
        <w:t xml:space="preserve"> </w:t>
      </w:r>
      <w:r>
        <w:t xml:space="preserve">low interest as &gt;30 and ≤ 90, Medium  interest as</w:t>
      </w:r>
      <w:r>
        <w:t xml:space="preserve"> </w:t>
      </w:r>
      <w:r>
        <w:t xml:space="preserve">&gt;90 and ≤ 300, and High interest &gt; 300.</w:t>
      </w:r>
    </w:p>
    <w:p>
      <w:pPr>
        <w:pStyle w:val="BodyText"/>
      </w:pPr>
      <w:r>
        <w:br w:type="textWrapping"/>
      </w:r>
      <w:r>
        <w:t xml:space="preserve">Regimens were assessed for their length using the guidelines of 7, 30,</w:t>
      </w:r>
      <w:r>
        <w:t xml:space="preserve"> </w:t>
      </w:r>
      <w:r>
        <w:t xml:space="preserve">and 90 days. No interest was defined as ≤ 7 days, low interest as</w:t>
      </w:r>
      <w:r>
        <w:t xml:space="preserve"> </w:t>
      </w:r>
      <w:r>
        <w:t xml:space="preserve">&gt;7 and ≤30, Medium interest as &gt;30 and ≤ 90,</w:t>
      </w:r>
      <w:r>
        <w:t xml:space="preserve"> </w:t>
      </w:r>
      <w:r>
        <w:t xml:space="preserve">and High interest &gt;90.</w:t>
      </w:r>
    </w:p>
    <w:p>
      <w:pPr>
        <w:pStyle w:val="BodyText"/>
      </w:pPr>
      <w:r>
        <w:br w:type="textWrapping"/>
      </w:r>
      <w:r>
        <w:t xml:space="preserve">Patients and Provider prescription patterns were assessed for index of</w:t>
      </w:r>
      <w:r>
        <w:t xml:space="preserve"> </w:t>
      </w:r>
      <w:r>
        <w:t xml:space="preserve">interest.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risk-factors-for-high-interest-regimen"/>
      <w:bookmarkEnd w:id="27"/>
      <w:r>
        <w:t xml:space="preserve">Risk factors for high interest</w:t>
      </w:r>
      <w:r>
        <w:t xml:space="preserve"> </w:t>
      </w:r>
      <w:r>
        <w:t xml:space="preserve">regimen</w:t>
      </w:r>
    </w:p>
    <w:p>
      <w:pPr>
        <w:pStyle w:val="Heading2"/>
      </w:pPr>
      <w:bookmarkStart w:id="28" w:name="section"/>
      <w:bookmarkEnd w:id="28"/>
    </w:p>
    <w:p>
      <w:pPr>
        <w:pStyle w:val="FirstParagraph"/>
      </w:pPr>
      <w:r>
        <w:t xml:space="preserve">To identify risk factors that are associated with high risk regimen, we</w:t>
      </w:r>
      <w:r>
        <w:t xml:space="preserve"> </w:t>
      </w:r>
      <w:r>
        <w:t xml:space="preserve">tested associations with logistic regression. </w:t>
      </w:r>
    </w:p>
    <w:p>
      <w:pPr>
        <w:pStyle w:val="BodyText"/>
      </w:pPr>
      <w:r>
        <w:t xml:space="preserve">Risk factors tested included number of providers involved in a given</w:t>
      </w:r>
      <w:r>
        <w:t xml:space="preserve"> </w:t>
      </w:r>
      <w:r>
        <w:t xml:space="preserve">regimen, presence of different opioid formulations.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results"/>
      <w:bookmarkEnd w:id="29"/>
      <w:r>
        <w:t xml:space="preserve">Results</w:t>
      </w:r>
    </w:p>
    <w:p>
      <w:pPr>
        <w:pStyle w:val="Heading1"/>
      </w:pPr>
      <w:bookmarkStart w:id="30" w:name="section-1"/>
      <w:bookmarkEnd w:id="30"/>
    </w:p>
    <w:p>
      <w:pPr>
        <w:pStyle w:val="FirstParagraph"/>
      </w:pPr>
      <w:r>
        <w:t xml:space="preserve">A little under 500,000 (447,888) prescriptions were made to 175,880</w:t>
      </w:r>
      <w:r>
        <w:t xml:space="preserve"> </w:t>
      </w:r>
      <w:r>
        <w:t xml:space="preserve">patients by 4,476 providers for a total of 500,166 regimens. </w:t>
      </w:r>
    </w:p>
    <w:p>
      <w:pPr>
        <w:pStyle w:val="BodyText"/>
      </w:pPr>
      <w:r>
        <w:t xml:space="preserve">292,726,953 Morphine Equivalents were prescribed over 5,707,617 days</w:t>
      </w:r>
      <w:r>
        <w:t xml:space="preserve"> </w:t>
      </w:r>
      <w:r>
        <w:t xml:space="preserve">(15,637 years) for a mean of 51 MEDD (median of 30 MEDD, weighted by</w:t>
      </w:r>
      <w:r>
        <w:t xml:space="preserve"> </w:t>
      </w:r>
      <w:r>
        <w:t xml:space="preserve">length of regimen). The median number of prescriptions in a regimen was</w:t>
      </w:r>
      <w:r>
        <w:t xml:space="preserve"> </w:t>
      </w:r>
      <w:r>
        <w:t xml:space="preserve">1 (range 1 - 16). 27% of regimens had more than one prescription. A</w:t>
      </w:r>
      <w:r>
        <w:t xml:space="preserve"> </w:t>
      </w:r>
      <w:r>
        <w:t xml:space="preserve">prescription was applicable to a median of 1 regimen (range 1 - 31).</w:t>
      </w:r>
      <w:r>
        <w:t xml:space="preserve"> </w:t>
      </w:r>
      <w:r>
        <w:t xml:space="preserve">33% of prescriptions were applicable to more than one regimen.  The</w:t>
      </w:r>
      <w:r>
        <w:t xml:space="preserve"> </w:t>
      </w:r>
      <w:r>
        <w:t xml:space="preserve">median number of providers involved in a regimen was 1 (range 1 - 5).</w:t>
      </w:r>
      <w:r>
        <w:t xml:space="preserve"> </w:t>
      </w:r>
      <w:r>
        <w:t xml:space="preserve">Oxyocode was involved in 41% of all opioid regimen. </w:t>
      </w:r>
    </w:p>
    <w:p>
      <w:pPr>
        <w:pStyle w:val="BodyText"/>
      </w:pPr>
      <w:r>
        <w:br w:type="textWrapping"/>
      </w:r>
      <w:r>
        <w:t xml:space="preserve">The median number of opioid prescriptions a patient received was 1</w:t>
      </w:r>
      <w:r>
        <w:t xml:space="preserve"> </w:t>
      </w:r>
      <w:r>
        <w:t xml:space="preserve">(range 1 - 90, mean 2.5). Of all patients, 103,269 (59%) patients</w:t>
      </w:r>
      <w:r>
        <w:t xml:space="preserve"> </w:t>
      </w:r>
      <w:r>
        <w:t xml:space="preserve">received 1 prescription, representing 23% of all prescriptions. The</w:t>
      </w:r>
      <w:r>
        <w:t xml:space="preserve"> </w:t>
      </w:r>
      <w:r>
        <w:t xml:space="preserve">median number of opioid regimens a patient had was 1 (range 1 - 106,</w:t>
      </w:r>
      <w:r>
        <w:t xml:space="preserve"> </w:t>
      </w:r>
      <w:r>
        <w:t xml:space="preserve">mean 2.84). Of all patients, 106,704 had a single opioid regimen,</w:t>
      </w:r>
      <w:r>
        <w:t xml:space="preserve"> </w:t>
      </w:r>
      <w:r>
        <w:t xml:space="preserve">representing 21% of all regimens.  The median number of days a patient</w:t>
      </w:r>
      <w:r>
        <w:t xml:space="preserve"> </w:t>
      </w:r>
      <w:r>
        <w:t xml:space="preserve">was prescribed an opioid regimen was 9 (range: 2 - 752, mean 32.5). The</w:t>
      </w:r>
      <w:r>
        <w:t xml:space="preserve"> </w:t>
      </w:r>
      <w:r>
        <w:t xml:space="preserve">median amount of total ME a patient was prescribed was 225 ME (range 1-</w:t>
      </w:r>
      <w:r>
        <w:t xml:space="preserve"> </w:t>
      </w:r>
      <w:r>
        <w:t xml:space="preserve">1,837,800). The median median MEDD of patients was 30 MEDD (range 0.15 -</w:t>
      </w:r>
      <w:r>
        <w:t xml:space="preserve"> </w:t>
      </w:r>
      <w:r>
        <w:t xml:space="preserve">4380). Median number of providers patient had 1 (range 1 - 23). </w:t>
      </w:r>
    </w:p>
    <w:p>
      <w:pPr>
        <w:pStyle w:val="BodyText"/>
      </w:pPr>
      <w:r>
        <w:br w:type="textWrapping"/>
      </w:r>
      <w:r>
        <w:t xml:space="preserve">The median number of opioid prescriptions a provider made was 25 (range</w:t>
      </w:r>
      <w:r>
        <w:t xml:space="preserve"> </w:t>
      </w:r>
      <w:r>
        <w:t xml:space="preserve"> 1- 4723) for a median total opioid prescribed of 6400 ME (range 4-</w:t>
      </w:r>
      <w:r>
        <w:t xml:space="preserve"> </w:t>
      </w:r>
      <w:r>
        <w:t xml:space="preserve">7496758). The median number of patients a provider made prescriptions</w:t>
      </w:r>
      <w:r>
        <w:t xml:space="preserve"> </w:t>
      </w:r>
      <w:r>
        <w:t xml:space="preserve">for was 19 (range 1 -  1723). The median numer of opioid regimens a</w:t>
      </w:r>
      <w:r>
        <w:t xml:space="preserve"> </w:t>
      </w:r>
      <w:r>
        <w:t xml:space="preserve">provider was responsible for was 26 (range 1- 7615) spanning  a median</w:t>
      </w:r>
      <w:r>
        <w:t xml:space="preserve"> </w:t>
      </w:r>
      <w:r>
        <w:t xml:space="preserve">of 201.5 days  (range 1-127,264) for a median median MEDD of 30 (range</w:t>
      </w:r>
      <w:r>
        <w:t xml:space="preserve"> </w:t>
      </w:r>
      <w:r>
        <w:t xml:space="preserve">0.7- 1051.2). </w:t>
      </w:r>
    </w:p>
    <w:p>
      <w:pPr>
        <w:pStyle w:val="BodyText"/>
      </w:pPr>
      <w:r>
        <w:br w:type="textWrapping"/>
      </w:r>
      <w:r>
        <w:t xml:space="preserve">237,882 (48%) No interest regimens were prescribed to 115,701 patients</w:t>
      </w:r>
      <w:r>
        <w:t xml:space="preserve"> </w:t>
      </w:r>
      <w:r>
        <w:t xml:space="preserve">(66%) by 4,125 providers (92%) for a total of 3,442,573 days (9431.1</w:t>
      </w:r>
      <w:r>
        <w:t xml:space="preserve"> </w:t>
      </w:r>
      <w:r>
        <w:t xml:space="preserve">years) (60%). Median length of no interest segments were 9 days (range</w:t>
      </w:r>
      <w:r>
        <w:t xml:space="preserve"> </w:t>
      </w:r>
      <w:r>
        <w:t xml:space="preserve">1- 365). The median number of prescriptions comprising the regimen was 1</w:t>
      </w:r>
      <w:r>
        <w:t xml:space="preserve"> </w:t>
      </w:r>
      <w:r>
        <w:t xml:space="preserve">(range 1 - 6). The median number of providers involved in the regimen</w:t>
      </w:r>
      <w:r>
        <w:t xml:space="preserve"> </w:t>
      </w:r>
      <w:r>
        <w:t xml:space="preserve">was 1(range: 1 - 4). The median number of no interest regimens a</w:t>
      </w:r>
      <w:r>
        <w:t xml:space="preserve"> </w:t>
      </w:r>
      <w:r>
        <w:t xml:space="preserve">provider was responsible for was 10 (range: 0 - 5089), comprising a</w:t>
      </w:r>
      <w:r>
        <w:t xml:space="preserve"> </w:t>
      </w:r>
      <w:r>
        <w:t xml:space="preserve">median of 49% (range 0 - 100%). Hydrocodone was involved in 39% of</w:t>
      </w:r>
      <w:r>
        <w:t xml:space="preserve"> </w:t>
      </w:r>
      <w:r>
        <w:t xml:space="preserve">all No interest regimen.  </w:t>
      </w:r>
    </w:p>
    <w:p>
      <w:pPr>
        <w:pStyle w:val="BodyText"/>
      </w:pPr>
      <w:r>
        <w:br w:type="textWrapping"/>
      </w:r>
      <w:r>
        <w:t xml:space="preserve">187,539 (37%)  Low interest regimens were prescribed to 88,212 patients</w:t>
      </w:r>
      <w:r>
        <w:t xml:space="preserve"> </w:t>
      </w:r>
      <w:r>
        <w:t xml:space="preserve">(50%) by 3,903 providers (87%)  for a total of 1,632,334 (4472.1</w:t>
      </w:r>
      <w:r>
        <w:t xml:space="preserve"> </w:t>
      </w:r>
      <w:r>
        <w:t xml:space="preserve">years) (29%). Median length of segment was 6 days (range 1 - 365). The</w:t>
      </w:r>
      <w:r>
        <w:t xml:space="preserve"> </w:t>
      </w:r>
      <w:r>
        <w:t xml:space="preserve">median number of prescriptions involved in each regimen was 1(range:</w:t>
      </w:r>
      <w:r>
        <w:t xml:space="preserve"> </w:t>
      </w:r>
      <w:r>
        <w:t xml:space="preserve">1-8). The median number of providers involved in the regimen was</w:t>
      </w:r>
      <w:r>
        <w:t xml:space="preserve"> </w:t>
      </w:r>
      <w:r>
        <w:t xml:space="preserve">1(range: 1 - 4). The median number of low interest regimens a provider</w:t>
      </w:r>
      <w:r>
        <w:t xml:space="preserve"> </w:t>
      </w:r>
      <w:r>
        <w:t xml:space="preserve">was responsible for was 9 (range: 0 - 2310), comprising a median of 36%</w:t>
      </w:r>
      <w:r>
        <w:t xml:space="preserve"> </w:t>
      </w:r>
      <w:r>
        <w:t xml:space="preserve">of their regimen (range 0 - 100%). Oxycodone was involved in 61% of</w:t>
      </w:r>
      <w:r>
        <w:t xml:space="preserve"> </w:t>
      </w:r>
      <w:r>
        <w:t xml:space="preserve">all Low interest regimen. </w:t>
      </w:r>
    </w:p>
    <w:p>
      <w:pPr>
        <w:pStyle w:val="BodyText"/>
      </w:pPr>
      <w:r>
        <w:br w:type="textWrapping"/>
      </w:r>
      <w:r>
        <w:t xml:space="preserve">59,193 (12%) were of Medium interest regimens were prescribed to 18,351</w:t>
      </w:r>
      <w:r>
        <w:t xml:space="preserve"> </w:t>
      </w:r>
      <w:r>
        <w:t xml:space="preserve">patients (10%)  by 2,755 providers (62%)  for 507,763 (1391.1 years)</w:t>
      </w:r>
      <w:r>
        <w:t xml:space="preserve"> </w:t>
      </w:r>
      <w:r>
        <w:t xml:space="preserve">(9%). Median length of segment was 5 days (range 1 - 365). The median</w:t>
      </w:r>
      <w:r>
        <w:t xml:space="preserve"> </w:t>
      </w:r>
      <w:r>
        <w:t xml:space="preserve">number of prescriptions involved in each regimen 2(range: 1 - 12) .  The</w:t>
      </w:r>
      <w:r>
        <w:t xml:space="preserve"> </w:t>
      </w:r>
      <w:r>
        <w:t xml:space="preserve">median number of providers involved in the regimen was 1(range: 1 -</w:t>
      </w:r>
      <w:r>
        <w:t xml:space="preserve"> </w:t>
      </w:r>
      <w:r>
        <w:t xml:space="preserve">5). The median number of Medium interest regimens a provider was</w:t>
      </w:r>
      <w:r>
        <w:t xml:space="preserve"> </w:t>
      </w:r>
      <w:r>
        <w:t xml:space="preserve">responsible for was 1 (range: 0 - 2057), comprising a median of 3.7% of</w:t>
      </w:r>
      <w:r>
        <w:t xml:space="preserve"> </w:t>
      </w:r>
      <w:r>
        <w:t xml:space="preserve">their regimen (range 0 - 100%).  Oxycodone was involved in 50% of all</w:t>
      </w:r>
      <w:r>
        <w:t xml:space="preserve"> </w:t>
      </w:r>
      <w:r>
        <w:t xml:space="preserve">Medium interest regimen. </w:t>
      </w:r>
    </w:p>
    <w:p>
      <w:pPr>
        <w:pStyle w:val="BodyText"/>
      </w:pPr>
      <w:r>
        <w:br w:type="textWrapping"/>
      </w:r>
      <w:r>
        <w:t xml:space="preserve">15,552 (3%) were of High interest regimens were prescribed to 2,357</w:t>
      </w:r>
      <w:r>
        <w:t xml:space="preserve"> </w:t>
      </w:r>
      <w:r>
        <w:t xml:space="preserve">patients (1%) by 1,055 providers (24%)  for 124,947 (342.3 years)</w:t>
      </w:r>
      <w:r>
        <w:t xml:space="preserve"> </w:t>
      </w:r>
      <w:r>
        <w:t xml:space="preserve">(2%). Median length of segment was 4 days (range 1 - 150).  The median</w:t>
      </w:r>
      <w:r>
        <w:t xml:space="preserve"> </w:t>
      </w:r>
      <w:r>
        <w:t xml:space="preserve">number of prescriptions involved in each regimen was 3 (range: 1 -16). </w:t>
      </w:r>
      <w:r>
        <w:t xml:space="preserve"> </w:t>
      </w:r>
      <w:r>
        <w:t xml:space="preserve">The median number of providers involved in the regimen was 1(range: 1 -</w:t>
      </w:r>
      <w:r>
        <w:t xml:space="preserve"> </w:t>
      </w:r>
      <w:r>
        <w:t xml:space="preserve">5). The median number of high interest regimens a provider was</w:t>
      </w:r>
      <w:r>
        <w:t xml:space="preserve"> </w:t>
      </w:r>
      <w:r>
        <w:t xml:space="preserve">responsible for was 0 (range: 0 - 897), comprising a median of 0% of</w:t>
      </w:r>
      <w:r>
        <w:t xml:space="preserve"> </w:t>
      </w:r>
      <w:r>
        <w:t xml:space="preserve">their regimen (range 0 - 100%). Oxycodone were involved in 39% of all</w:t>
      </w:r>
      <w:r>
        <w:t xml:space="preserve"> </w:t>
      </w:r>
      <w:r>
        <w:t xml:space="preserve">High interest regimen. </w:t>
      </w:r>
    </w:p>
    <w:p>
      <w:pPr>
        <w:pStyle w:val="BodyText"/>
      </w:pPr>
      <w:r>
        <w:br w:type="textWrapping"/>
      </w:r>
      <w:r>
        <w:t xml:space="preserve">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Number of prescriptions in regimen</w:t>
            </w:r>
          </w:p>
        </w:tc>
        <w:tc>
          <w:p>
            <w:pPr>
              <w:pStyle w:val="Compact"/>
              <w:jc w:val="left"/>
            </w:pPr>
            <w:r>
              <w:t xml:space="preserve">OR for one additional provider</w:t>
            </w:r>
          </w:p>
        </w:tc>
        <w:tc>
          <w:p>
            <w:pPr>
              <w:pStyle w:val="Compact"/>
              <w:jc w:val="left"/>
            </w:pPr>
            <w:r>
              <w:t xml:space="preserve">95% CI</w:t>
            </w:r>
          </w:p>
        </w:tc>
        <w:tc>
          <w:p>
            <w:pPr>
              <w:pStyle w:val="Compact"/>
              <w:jc w:val="left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0.55</w:t>
            </w:r>
          </w:p>
        </w:tc>
        <w:tc>
          <w:p>
            <w:pPr>
              <w:pStyle w:val="Compact"/>
              <w:jc w:val="left"/>
            </w:pPr>
            <w:r>
              <w:t xml:space="preserve">(0.50 - 0.59)</w:t>
            </w:r>
          </w:p>
        </w:tc>
        <w:tc>
          <w:p>
            <w:pPr>
              <w:pStyle w:val="Compact"/>
              <w:jc w:val="left"/>
            </w:pPr>
            <w:r>
              <w:t xml:space="preserve">&lt;0.01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0.72</w:t>
            </w:r>
          </w:p>
        </w:tc>
        <w:tc>
          <w:p>
            <w:pPr>
              <w:pStyle w:val="Compact"/>
              <w:jc w:val="left"/>
            </w:pPr>
            <w:r>
              <w:t xml:space="preserve">(0.68 - 0.77)</w:t>
            </w:r>
          </w:p>
        </w:tc>
        <w:tc>
          <w:p>
            <w:pPr>
              <w:pStyle w:val="Compact"/>
              <w:jc w:val="left"/>
            </w:pPr>
            <w:r>
              <w:t xml:space="preserve">&lt;0.01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1.01</w:t>
            </w:r>
          </w:p>
        </w:tc>
        <w:tc>
          <w:p>
            <w:pPr>
              <w:pStyle w:val="Compact"/>
              <w:jc w:val="left"/>
            </w:pPr>
            <w:r>
              <w:t xml:space="preserve">(0.95 - 1.07)</w:t>
            </w:r>
          </w:p>
        </w:tc>
        <w:tc>
          <w:p>
            <w:pPr>
              <w:pStyle w:val="Compact"/>
              <w:jc w:val="left"/>
            </w:pPr>
            <w:r>
              <w:t xml:space="preserve">0.75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1.34</w:t>
            </w:r>
          </w:p>
        </w:tc>
        <w:tc>
          <w:p>
            <w:pPr>
              <w:pStyle w:val="Compact"/>
              <w:jc w:val="left"/>
            </w:pPr>
            <w:r>
              <w:t xml:space="preserve">(1.25 - 1.45)</w:t>
            </w:r>
          </w:p>
        </w:tc>
        <w:tc>
          <w:p>
            <w:pPr>
              <w:pStyle w:val="Compact"/>
              <w:jc w:val="left"/>
            </w:pPr>
            <w:r>
              <w:t xml:space="preserve">&lt;0.01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3810000" cy="2540000"/>
            <wp:effectExtent b="0" l="0" r="0" t="0"/>
            <wp:docPr descr="Relationship of MEDD interest level with number of providers, stratified by number of prescriptions involved in regimen. For those regimen with 2 prescriptions involved, more than one provider was associated with a lower odds of having a High interest regimen; this pattern was similar for regimen with 3 prescriptions. For those regimen with 4 prescriptions, more providers was not associated with a higher odds of having a high interest regimen. For those regimen with 5 prescriptions, more providers was associated with higher odds of having a higher interest regimen.  " title="" id="1" name="Picture"/>
            <a:graphic>
              <a:graphicData uri="http://schemas.openxmlformats.org/drawingml/2006/picture">
                <pic:pic>
                  <pic:nvPicPr>
                    <pic:cNvPr descr="figures/180517-number-of-provider-and-MEDD-fraction/180517-number-of-provider-and-MEDD-fraction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Relationship of MEDD interest level with number of providers, stratified</w:t>
      </w:r>
      <w:r>
        <w:t xml:space="preserve"> </w:t>
      </w:r>
      <w:r>
        <w:t xml:space="preserve">by number of prescriptions involved in regimen. For those regimen with 2</w:t>
      </w:r>
      <w:r>
        <w:t xml:space="preserve"> </w:t>
      </w:r>
      <w:r>
        <w:t xml:space="preserve">prescriptions involved, more than one provider was associated with a</w:t>
      </w:r>
      <w:r>
        <w:t xml:space="preserve"> </w:t>
      </w:r>
      <w:r>
        <w:t xml:space="preserve">lower odds of having a High interest regimen; this pattern was similar</w:t>
      </w:r>
      <w:r>
        <w:t xml:space="preserve"> </w:t>
      </w:r>
      <w:r>
        <w:t xml:space="preserve">for regimen with 3 prescriptions. For those regimen with 4</w:t>
      </w:r>
      <w:r>
        <w:t xml:space="preserve"> </w:t>
      </w:r>
      <w:r>
        <w:t xml:space="preserve">prescriptions, more providers was not associated with a higher odds of</w:t>
      </w:r>
      <w:r>
        <w:t xml:space="preserve"> </w:t>
      </w:r>
      <w:r>
        <w:t xml:space="preserve">having a high interest regimen. For those regimen with 5 prescriptions,</w:t>
      </w:r>
      <w:r>
        <w:t xml:space="preserve"> </w:t>
      </w:r>
      <w:r>
        <w:t xml:space="preserve">more providers was associated with higher odds of having a higher</w:t>
      </w:r>
      <w:r>
        <w:t xml:space="preserve"> </w:t>
      </w:r>
      <w:r>
        <w:t xml:space="preserve">interest regimen. </w:t>
      </w:r>
      <w:r>
        <w:t xml:space="preserve"> </w:t>
      </w:r>
    </w:p>
    <w:p>
      <w:pPr>
        <w:pStyle w:val="BodyText"/>
      </w:pPr>
      <w:r>
        <w:t xml:space="preserve"> Table 1. Drug formulation and distribution of level of interest.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Drug Formulation</w:t>
            </w:r>
          </w:p>
        </w:tc>
        <w:tc>
          <w:p>
            <w:pPr>
              <w:pStyle w:val="Compact"/>
              <w:jc w:val="left"/>
            </w:pPr>
            <w:r>
              <w:t xml:space="preserve">Component of regimen</w:t>
            </w:r>
          </w:p>
        </w:tc>
        <w:tc>
          <w:p>
            <w:pPr>
              <w:pStyle w:val="Compact"/>
              <w:jc w:val="left"/>
            </w:pPr>
            <w:r>
              <w:t xml:space="preserve">No Interest (%)</w:t>
            </w:r>
          </w:p>
        </w:tc>
        <w:tc>
          <w:p>
            <w:pPr>
              <w:pStyle w:val="Compact"/>
              <w:jc w:val="left"/>
            </w:pPr>
            <w:r>
              <w:t xml:space="preserve">Low</w:t>
            </w:r>
            <w:r>
              <w:t xml:space="preserve"> </w:t>
            </w:r>
            <w:r>
              <w:t xml:space="preserve">Interest (%)</w:t>
            </w:r>
          </w:p>
        </w:tc>
        <w:tc>
          <w:p>
            <w:pPr>
              <w:pStyle w:val="Compact"/>
              <w:jc w:val="left"/>
            </w:pPr>
            <w:r>
              <w:t xml:space="preserve">Medium Interest (%)</w:t>
            </w:r>
          </w:p>
        </w:tc>
        <w:tc>
          <w:p>
            <w:pPr>
              <w:pStyle w:val="Compact"/>
              <w:jc w:val="left"/>
            </w:pPr>
            <w:r>
              <w:t xml:space="preserve">High Interest (%)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Buprenophine Patch</w:t>
            </w:r>
          </w:p>
        </w:tc>
        <w:tc>
          <w:p>
            <w:pPr>
              <w:pStyle w:val="Compact"/>
              <w:jc w:val="left"/>
            </w:pPr>
            <w:r>
              <w:t xml:space="preserve">1,219</w:t>
            </w:r>
          </w:p>
        </w:tc>
        <w:tc>
          <w:p>
            <w:pPr>
              <w:pStyle w:val="Compact"/>
              <w:jc w:val="left"/>
            </w:pPr>
            <w:r>
              <w:t xml:space="preserve">491 (40)</w:t>
            </w:r>
          </w:p>
        </w:tc>
        <w:tc>
          <w:p>
            <w:pPr>
              <w:pStyle w:val="Compact"/>
              <w:jc w:val="left"/>
            </w:pPr>
            <w:r>
              <w:t xml:space="preserve">516 (42)</w:t>
            </w:r>
          </w:p>
        </w:tc>
        <w:tc>
          <w:p>
            <w:pPr>
              <w:pStyle w:val="Compact"/>
              <w:jc w:val="left"/>
            </w:pPr>
            <w:r>
              <w:t xml:space="preserve">200 (16)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  <w:r>
              <w:t xml:space="preserve"> </w:t>
            </w:r>
            <w:r>
              <w:t xml:space="preserve">(1)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Buprenorphine Film</w:t>
            </w:r>
          </w:p>
        </w:tc>
        <w:tc>
          <w:p>
            <w:pPr>
              <w:pStyle w:val="Compact"/>
              <w:jc w:val="left"/>
            </w:pPr>
            <w:r>
              <w:t xml:space="preserve">209</w:t>
            </w:r>
          </w:p>
        </w:tc>
        <w:tc>
          <w:p>
            <w:pPr>
              <w:pStyle w:val="Compact"/>
              <w:jc w:val="left"/>
            </w:pPr>
            <w:r>
              <w:t xml:space="preserve">95 (45)</w:t>
            </w:r>
          </w:p>
        </w:tc>
        <w:tc>
          <w:p>
            <w:pPr>
              <w:pStyle w:val="Compact"/>
              <w:jc w:val="left"/>
            </w:pPr>
            <w:r>
              <w:t xml:space="preserve">71 (34)</w:t>
            </w:r>
          </w:p>
        </w:tc>
        <w:tc>
          <w:p>
            <w:pPr>
              <w:pStyle w:val="Compact"/>
              <w:jc w:val="left"/>
            </w:pPr>
            <w:r>
              <w:t xml:space="preserve">43 (21)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  <w:r>
              <w:t xml:space="preserve"> </w:t>
            </w:r>
            <w:r>
              <w:t xml:space="preserve">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Butorphanol Nasal</w:t>
            </w:r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pStyle w:val="Compact"/>
              <w:jc w:val="left"/>
            </w:pPr>
            <w:r>
              <w:t xml:space="preserve">33 (40)</w:t>
            </w:r>
          </w:p>
        </w:tc>
        <w:tc>
          <w:p>
            <w:pPr>
              <w:pStyle w:val="Compact"/>
              <w:jc w:val="left"/>
            </w:pPr>
            <w:r>
              <w:t xml:space="preserve">39 (48)</w:t>
            </w:r>
          </w:p>
        </w:tc>
        <w:tc>
          <w:p>
            <w:pPr>
              <w:pStyle w:val="Compact"/>
              <w:jc w:val="left"/>
            </w:pPr>
            <w:r>
              <w:t xml:space="preserve">10 (12)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  <w:r>
              <w:t xml:space="preserve"> </w:t>
            </w:r>
            <w:r>
              <w:t xml:space="preserve">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Codeine PO</w:t>
            </w:r>
          </w:p>
        </w:tc>
        <w:tc>
          <w:p>
            <w:pPr>
              <w:pStyle w:val="Compact"/>
              <w:jc w:val="left"/>
            </w:pPr>
            <w:r>
              <w:t xml:space="preserve">26,990</w:t>
            </w:r>
          </w:p>
        </w:tc>
        <w:tc>
          <w:p>
            <w:pPr>
              <w:pStyle w:val="Compact"/>
              <w:jc w:val="left"/>
            </w:pPr>
            <w:r>
              <w:t xml:space="preserve">20,776 (77)</w:t>
            </w:r>
          </w:p>
        </w:tc>
        <w:tc>
          <w:p>
            <w:pPr>
              <w:pStyle w:val="Compact"/>
              <w:jc w:val="left"/>
            </w:pPr>
            <w:r>
              <w:t xml:space="preserve">5,308 (20)</w:t>
            </w:r>
          </w:p>
        </w:tc>
        <w:tc>
          <w:p>
            <w:pPr>
              <w:pStyle w:val="Compact"/>
              <w:jc w:val="left"/>
            </w:pPr>
            <w:r>
              <w:t xml:space="preserve">783 (3)</w:t>
            </w:r>
          </w:p>
        </w:tc>
        <w:tc>
          <w:p>
            <w:pPr>
              <w:pStyle w:val="Compact"/>
              <w:jc w:val="left"/>
            </w:pPr>
            <w:r>
              <w:t xml:space="preserve">123</w:t>
            </w:r>
            <w:r>
              <w:t xml:space="preserve"> </w:t>
            </w:r>
            <w:r>
              <w:t xml:space="preserve">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Fentanyl Buccal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3 (5)</w:t>
            </w:r>
          </w:p>
        </w:tc>
        <w:tc>
          <w:p>
            <w:pPr>
              <w:pStyle w:val="Compact"/>
              <w:jc w:val="left"/>
            </w:pPr>
            <w:r>
              <w:t xml:space="preserve">20 (32)</w:t>
            </w:r>
          </w:p>
        </w:tc>
        <w:tc>
          <w:p>
            <w:pPr>
              <w:pStyle w:val="Compact"/>
              <w:jc w:val="left"/>
            </w:pPr>
            <w:r>
              <w:t xml:space="preserve">40 (63)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Fentanyl Lozenge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 (14)</w:t>
            </w:r>
          </w:p>
        </w:tc>
        <w:tc>
          <w:p>
            <w:pPr>
              <w:pStyle w:val="Compact"/>
              <w:jc w:val="left"/>
            </w:pPr>
            <w:r>
              <w:t xml:space="preserve">1 (14)</w:t>
            </w:r>
          </w:p>
        </w:tc>
        <w:tc>
          <w:p>
            <w:pPr>
              <w:pStyle w:val="Compact"/>
              <w:jc w:val="left"/>
            </w:pPr>
            <w:r>
              <w:t xml:space="preserve">5 (71)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Fentanyl Nasal</w:t>
            </w:r>
          </w:p>
        </w:tc>
        <w:tc>
          <w:p>
            <w:pPr>
              <w:pStyle w:val="Compact"/>
              <w:jc w:val="left"/>
            </w:pPr>
            <w:r>
              <w:t xml:space="preserve">63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6 (10)</w:t>
            </w:r>
          </w:p>
        </w:tc>
        <w:tc>
          <w:p>
            <w:pPr>
              <w:pStyle w:val="Compact"/>
              <w:jc w:val="left"/>
            </w:pPr>
            <w:r>
              <w:t xml:space="preserve">16 (25)</w:t>
            </w:r>
          </w:p>
        </w:tc>
        <w:tc>
          <w:p>
            <w:pPr>
              <w:pStyle w:val="Compact"/>
              <w:jc w:val="left"/>
            </w:pPr>
            <w:r>
              <w:t xml:space="preserve">41 (65)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Fentanyl Patch</w:t>
            </w:r>
          </w:p>
        </w:tc>
        <w:tc>
          <w:p>
            <w:pPr>
              <w:pStyle w:val="Compact"/>
              <w:jc w:val="left"/>
            </w:pPr>
            <w:r>
              <w:t xml:space="preserve">15,989</w:t>
            </w:r>
          </w:p>
        </w:tc>
        <w:tc>
          <w:p>
            <w:pPr>
              <w:pStyle w:val="Compact"/>
              <w:jc w:val="left"/>
            </w:pPr>
            <w:r>
              <w:t xml:space="preserve">489 (3)</w:t>
            </w:r>
          </w:p>
        </w:tc>
        <w:tc>
          <w:p>
            <w:pPr>
              <w:pStyle w:val="Compact"/>
              <w:jc w:val="left"/>
            </w:pPr>
            <w:r>
              <w:t xml:space="preserve">2,919 (18)</w:t>
            </w:r>
          </w:p>
        </w:tc>
        <w:tc>
          <w:p>
            <w:pPr>
              <w:pStyle w:val="Compact"/>
              <w:jc w:val="left"/>
            </w:pPr>
            <w:r>
              <w:t xml:space="preserve">8,657 (54)</w:t>
            </w:r>
          </w:p>
        </w:tc>
        <w:tc>
          <w:p>
            <w:pPr>
              <w:pStyle w:val="Compact"/>
              <w:jc w:val="left"/>
            </w:pPr>
            <w:r>
              <w:t xml:space="preserve">3,924</w:t>
            </w:r>
            <w:r>
              <w:t xml:space="preserve"> </w:t>
            </w:r>
            <w:r>
              <w:t xml:space="preserve">(25)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Fentanyl Sublingual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1 (50)</w:t>
            </w:r>
          </w:p>
        </w:tc>
        <w:tc>
          <w:p>
            <w:pPr>
              <w:pStyle w:val="Compact"/>
              <w:jc w:val="left"/>
            </w:pPr>
            <w:r>
              <w:t xml:space="preserve">1 (50)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Hydrocodone PO</w:t>
            </w:r>
          </w:p>
        </w:tc>
        <w:tc>
          <w:p>
            <w:pPr>
              <w:pStyle w:val="Compact"/>
              <w:jc w:val="left"/>
            </w:pPr>
            <w:r>
              <w:t xml:space="preserve">142,349</w:t>
            </w:r>
          </w:p>
        </w:tc>
        <w:tc>
          <w:p>
            <w:pPr>
              <w:pStyle w:val="Compact"/>
              <w:jc w:val="left"/>
            </w:pPr>
            <w:r>
              <w:t xml:space="preserve">93,240 (66)</w:t>
            </w:r>
          </w:p>
        </w:tc>
        <w:tc>
          <w:p>
            <w:pPr>
              <w:pStyle w:val="Compact"/>
              <w:jc w:val="left"/>
            </w:pPr>
            <w:r>
              <w:t xml:space="preserve">40,504 (28)</w:t>
            </w:r>
          </w:p>
        </w:tc>
        <w:tc>
          <w:p>
            <w:pPr>
              <w:pStyle w:val="Compact"/>
              <w:jc w:val="left"/>
            </w:pPr>
            <w:r>
              <w:t xml:space="preserve">7,835 (6)</w:t>
            </w:r>
          </w:p>
        </w:tc>
        <w:tc>
          <w:p>
            <w:pPr>
              <w:pStyle w:val="Compact"/>
              <w:jc w:val="left"/>
            </w:pPr>
            <w:r>
              <w:t xml:space="preserve">770</w:t>
            </w:r>
            <w:r>
              <w:t xml:space="preserve"> </w:t>
            </w:r>
            <w:r>
              <w:t xml:space="preserve">(1)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Hydromorphone PO</w:t>
            </w:r>
          </w:p>
        </w:tc>
        <w:tc>
          <w:p>
            <w:pPr>
              <w:pStyle w:val="Compact"/>
              <w:jc w:val="left"/>
            </w:pPr>
            <w:r>
              <w:t xml:space="preserve">6,164</w:t>
            </w:r>
          </w:p>
        </w:tc>
        <w:tc>
          <w:p>
            <w:pPr>
              <w:pStyle w:val="Compact"/>
              <w:jc w:val="left"/>
            </w:pPr>
            <w:r>
              <w:t xml:space="preserve">434 (7)</w:t>
            </w:r>
          </w:p>
        </w:tc>
        <w:tc>
          <w:p>
            <w:pPr>
              <w:pStyle w:val="Compact"/>
              <w:jc w:val="left"/>
            </w:pPr>
            <w:r>
              <w:t xml:space="preserve">1,721 (28)</w:t>
            </w:r>
          </w:p>
        </w:tc>
        <w:tc>
          <w:p>
            <w:pPr>
              <w:pStyle w:val="Compact"/>
              <w:jc w:val="left"/>
            </w:pPr>
            <w:r>
              <w:t xml:space="preserve">2,759 (45)</w:t>
            </w:r>
          </w:p>
        </w:tc>
        <w:tc>
          <w:p>
            <w:pPr>
              <w:pStyle w:val="Compact"/>
              <w:jc w:val="left"/>
            </w:pPr>
            <w:r>
              <w:t xml:space="preserve">1,250</w:t>
            </w:r>
            <w:r>
              <w:t xml:space="preserve"> </w:t>
            </w:r>
            <w:r>
              <w:t xml:space="preserve">(20)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Hydromorphone Suppository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37 (52)</w:t>
            </w:r>
          </w:p>
        </w:tc>
        <w:tc>
          <w:p>
            <w:pPr>
              <w:pStyle w:val="Compact"/>
              <w:jc w:val="left"/>
            </w:pPr>
            <w:r>
              <w:t xml:space="preserve">25 (35)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  <w:r>
              <w:t xml:space="preserve"> </w:t>
            </w:r>
            <w:r>
              <w:t xml:space="preserve">(13)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Levorphanol PO</w:t>
            </w:r>
          </w:p>
        </w:tc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  <w:tc>
          <w:p>
            <w:pPr>
              <w:pStyle w:val="Compact"/>
              <w:jc w:val="left"/>
            </w:pPr>
            <w:r>
              <w:t xml:space="preserve">5 (24)</w:t>
            </w:r>
          </w:p>
        </w:tc>
        <w:tc>
          <w:p>
            <w:pPr>
              <w:pStyle w:val="Compact"/>
              <w:jc w:val="left"/>
            </w:pPr>
            <w:r>
              <w:t xml:space="preserve">15 (71)</w:t>
            </w:r>
          </w:p>
        </w:tc>
        <w:tc>
          <w:p>
            <w:pPr>
              <w:pStyle w:val="Compact"/>
              <w:jc w:val="left"/>
            </w:pPr>
            <w:r>
              <w:t xml:space="preserve">1 (5)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Meperidine PO</w:t>
            </w:r>
          </w:p>
        </w:tc>
        <w:tc>
          <w:p>
            <w:pPr>
              <w:pStyle w:val="Compact"/>
              <w:jc w:val="left"/>
            </w:pPr>
            <w:r>
              <w:t xml:space="preserve">163</w:t>
            </w:r>
          </w:p>
        </w:tc>
        <w:tc>
          <w:p>
            <w:pPr>
              <w:pStyle w:val="Compact"/>
              <w:jc w:val="left"/>
            </w:pPr>
            <w:r>
              <w:t xml:space="preserve">81 (50)</w:t>
            </w:r>
          </w:p>
        </w:tc>
        <w:tc>
          <w:p>
            <w:pPr>
              <w:pStyle w:val="Compact"/>
              <w:jc w:val="left"/>
            </w:pPr>
            <w:r>
              <w:t xml:space="preserve">56 (34)</w:t>
            </w:r>
          </w:p>
        </w:tc>
        <w:tc>
          <w:p>
            <w:pPr>
              <w:pStyle w:val="Compact"/>
              <w:jc w:val="left"/>
            </w:pPr>
            <w:r>
              <w:t xml:space="preserve">26 (16)</w:t>
            </w:r>
          </w:p>
        </w:tc>
        <w:tc>
          <w:p>
            <w:pPr>
              <w:pStyle w:val="Compact"/>
              <w:jc w:val="left"/>
            </w:pPr>
            <w:r>
              <w:t xml:space="preserve">0 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Methadone PO</w:t>
            </w:r>
          </w:p>
        </w:tc>
        <w:tc>
          <w:p>
            <w:pPr>
              <w:pStyle w:val="Compact"/>
              <w:jc w:val="left"/>
            </w:pPr>
            <w:r>
              <w:t xml:space="preserve">6,810</w:t>
            </w:r>
          </w:p>
        </w:tc>
        <w:tc>
          <w:p>
            <w:pPr>
              <w:pStyle w:val="Compact"/>
              <w:jc w:val="left"/>
            </w:pPr>
            <w:r>
              <w:t xml:space="preserve">200 (3)</w:t>
            </w:r>
          </w:p>
        </w:tc>
        <w:tc>
          <w:p>
            <w:pPr>
              <w:pStyle w:val="Compact"/>
              <w:jc w:val="left"/>
            </w:pPr>
            <w:r>
              <w:t xml:space="preserve">1,439 (21)</w:t>
            </w:r>
          </w:p>
        </w:tc>
        <w:tc>
          <w:p>
            <w:pPr>
              <w:pStyle w:val="Compact"/>
              <w:jc w:val="left"/>
            </w:pPr>
            <w:r>
              <w:t xml:space="preserve">2,163 (32)</w:t>
            </w:r>
          </w:p>
        </w:tc>
        <w:tc>
          <w:p>
            <w:pPr>
              <w:pStyle w:val="Compact"/>
              <w:jc w:val="left"/>
            </w:pPr>
            <w:r>
              <w:t xml:space="preserve">3,008</w:t>
            </w:r>
            <w:r>
              <w:t xml:space="preserve"> </w:t>
            </w:r>
            <w:r>
              <w:t xml:space="preserve">(44)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Morphine PO</w:t>
            </w:r>
          </w:p>
        </w:tc>
        <w:tc>
          <w:p>
            <w:pPr>
              <w:pStyle w:val="Compact"/>
              <w:jc w:val="left"/>
            </w:pPr>
            <w:r>
              <w:t xml:space="preserve">21,660</w:t>
            </w:r>
          </w:p>
        </w:tc>
        <w:tc>
          <w:p>
            <w:pPr>
              <w:pStyle w:val="Compact"/>
              <w:jc w:val="left"/>
            </w:pPr>
            <w:r>
              <w:t xml:space="preserve">2,454 (11)</w:t>
            </w:r>
          </w:p>
        </w:tc>
        <w:tc>
          <w:p>
            <w:pPr>
              <w:pStyle w:val="Compact"/>
              <w:jc w:val="left"/>
            </w:pPr>
            <w:r>
              <w:t xml:space="preserve">6,342 (29)</w:t>
            </w:r>
          </w:p>
        </w:tc>
        <w:tc>
          <w:p>
            <w:pPr>
              <w:pStyle w:val="Compact"/>
              <w:jc w:val="left"/>
            </w:pPr>
            <w:r>
              <w:t xml:space="preserve">9,531 (44)</w:t>
            </w:r>
          </w:p>
        </w:tc>
        <w:tc>
          <w:p>
            <w:pPr>
              <w:pStyle w:val="Compact"/>
              <w:jc w:val="left"/>
            </w:pPr>
            <w:r>
              <w:t xml:space="preserve">3,333</w:t>
            </w:r>
            <w:r>
              <w:t xml:space="preserve"> </w:t>
            </w:r>
            <w:r>
              <w:t xml:space="preserve">(15)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Morphine Suppository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1 (8)</w:t>
            </w:r>
          </w:p>
        </w:tc>
        <w:tc>
          <w:p>
            <w:pPr>
              <w:pStyle w:val="Compact"/>
              <w:jc w:val="left"/>
            </w:pPr>
            <w:r>
              <w:t xml:space="preserve">10 (83)</w:t>
            </w:r>
          </w:p>
        </w:tc>
        <w:tc>
          <w:p>
            <w:pPr>
              <w:pStyle w:val="Compact"/>
              <w:jc w:val="left"/>
            </w:pPr>
            <w:r>
              <w:t xml:space="preserve">1 (8)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  <w:r>
              <w:t xml:space="preserve"> </w:t>
            </w:r>
            <w:r>
              <w:t xml:space="preserve">(0)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Opium Suppository</w:t>
            </w:r>
          </w:p>
        </w:tc>
        <w:tc>
          <w:p>
            <w:pPr>
              <w:pStyle w:val="Compact"/>
              <w:jc w:val="left"/>
            </w:pPr>
            <w:r>
              <w:t xml:space="preserve">291</w:t>
            </w:r>
          </w:p>
        </w:tc>
        <w:tc>
          <w:p>
            <w:pPr>
              <w:pStyle w:val="Compact"/>
              <w:jc w:val="left"/>
            </w:pPr>
            <w:r>
              <w:t xml:space="preserve">38 (13)</w:t>
            </w:r>
          </w:p>
        </w:tc>
        <w:tc>
          <w:p>
            <w:pPr>
              <w:pStyle w:val="Compact"/>
              <w:jc w:val="left"/>
            </w:pPr>
            <w:r>
              <w:t xml:space="preserve">131 (45)</w:t>
            </w:r>
          </w:p>
        </w:tc>
        <w:tc>
          <w:p>
            <w:pPr>
              <w:pStyle w:val="Compact"/>
              <w:jc w:val="left"/>
            </w:pPr>
            <w:r>
              <w:t xml:space="preserve">101 (35)</w:t>
            </w:r>
          </w:p>
        </w:tc>
        <w:tc>
          <w:p>
            <w:pPr>
              <w:pStyle w:val="Compact"/>
              <w:jc w:val="left"/>
            </w:pPr>
            <w:r>
              <w:t xml:space="preserve">21</w:t>
            </w:r>
            <w:r>
              <w:t xml:space="preserve"> </w:t>
            </w:r>
            <w:r>
              <w:t xml:space="preserve">(7)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Oxycodone PO</w:t>
            </w:r>
          </w:p>
        </w:tc>
        <w:tc>
          <w:p>
            <w:pPr>
              <w:pStyle w:val="Compact"/>
              <w:jc w:val="left"/>
            </w:pPr>
            <w:r>
              <w:t xml:space="preserve">229,079</w:t>
            </w:r>
          </w:p>
        </w:tc>
        <w:tc>
          <w:p>
            <w:pPr>
              <w:pStyle w:val="Compact"/>
              <w:jc w:val="left"/>
            </w:pPr>
            <w:r>
              <w:t xml:space="preserve">52,603 (23)</w:t>
            </w:r>
          </w:p>
        </w:tc>
        <w:tc>
          <w:p>
            <w:pPr>
              <w:pStyle w:val="Compact"/>
              <w:jc w:val="left"/>
            </w:pPr>
            <w:r>
              <w:t xml:space="preserve">126,042 (55)</w:t>
            </w:r>
          </w:p>
        </w:tc>
        <w:tc>
          <w:p>
            <w:pPr>
              <w:pStyle w:val="Compact"/>
              <w:jc w:val="left"/>
            </w:pPr>
            <w:r>
              <w:t xml:space="preserve">40,897 (18)</w:t>
            </w:r>
          </w:p>
        </w:tc>
        <w:tc>
          <w:p>
            <w:pPr>
              <w:pStyle w:val="Compact"/>
              <w:jc w:val="left"/>
            </w:pPr>
            <w:r>
              <w:t xml:space="preserve">9,537 (4)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Oxymorphone PO</w:t>
            </w:r>
          </w:p>
        </w:tc>
        <w:tc>
          <w:p>
            <w:pPr>
              <w:pStyle w:val="Compact"/>
              <w:jc w:val="left"/>
            </w:pPr>
            <w:r>
              <w:t xml:space="preserve">2,417</w:t>
            </w:r>
          </w:p>
        </w:tc>
        <w:tc>
          <w:p>
            <w:pPr>
              <w:pStyle w:val="Compact"/>
              <w:jc w:val="left"/>
            </w:pPr>
            <w:r>
              <w:t xml:space="preserve">76 (3)</w:t>
            </w:r>
          </w:p>
        </w:tc>
        <w:tc>
          <w:p>
            <w:pPr>
              <w:pStyle w:val="Compact"/>
              <w:jc w:val="left"/>
            </w:pPr>
            <w:r>
              <w:t xml:space="preserve">429 (18)</w:t>
            </w:r>
          </w:p>
        </w:tc>
        <w:tc>
          <w:p>
            <w:pPr>
              <w:pStyle w:val="Compact"/>
              <w:jc w:val="left"/>
            </w:pPr>
            <w:r>
              <w:t xml:space="preserve">1,299 (54)</w:t>
            </w:r>
          </w:p>
        </w:tc>
        <w:tc>
          <w:p>
            <w:pPr>
              <w:pStyle w:val="Compact"/>
              <w:jc w:val="left"/>
            </w:pPr>
            <w:r>
              <w:t xml:space="preserve">613</w:t>
            </w:r>
            <w:r>
              <w:t xml:space="preserve"> </w:t>
            </w:r>
            <w:r>
              <w:t xml:space="preserve">(25)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Pentacozine PO</w:t>
            </w:r>
          </w:p>
        </w:tc>
        <w:tc>
          <w:p>
            <w:pPr>
              <w:pStyle w:val="Compact"/>
              <w:jc w:val="left"/>
            </w:pPr>
            <w:r>
              <w:t xml:space="preserve">51</w:t>
            </w:r>
          </w:p>
        </w:tc>
        <w:tc>
          <w:p>
            <w:pPr>
              <w:pStyle w:val="Compact"/>
              <w:jc w:val="left"/>
            </w:pPr>
            <w:r>
              <w:t xml:space="preserve">3 (6)</w:t>
            </w:r>
          </w:p>
        </w:tc>
        <w:tc>
          <w:p>
            <w:pPr>
              <w:pStyle w:val="Compact"/>
              <w:jc w:val="left"/>
            </w:pPr>
            <w:r>
              <w:t xml:space="preserve">33 (65)</w:t>
            </w:r>
          </w:p>
        </w:tc>
        <w:tc>
          <w:p>
            <w:pPr>
              <w:pStyle w:val="Compact"/>
              <w:jc w:val="left"/>
            </w:pPr>
            <w:r>
              <w:t xml:space="preserve">12 (24)</w:t>
            </w:r>
          </w:p>
        </w:tc>
        <w:tc>
          <w:p>
            <w:pPr>
              <w:pStyle w:val="Compact"/>
              <w:jc w:val="left"/>
            </w:pPr>
            <w:r>
              <w:t xml:space="preserve">3 (6)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Tapentadol PO</w:t>
            </w:r>
          </w:p>
        </w:tc>
        <w:tc>
          <w:p>
            <w:pPr>
              <w:pStyle w:val="Compact"/>
              <w:jc w:val="left"/>
            </w:pPr>
            <w:r>
              <w:t xml:space="preserve">6,500</w:t>
            </w:r>
          </w:p>
        </w:tc>
        <w:tc>
          <w:p>
            <w:pPr>
              <w:pStyle w:val="Compact"/>
              <w:jc w:val="left"/>
            </w:pPr>
            <w:r>
              <w:t xml:space="preserve">48 (1)</w:t>
            </w:r>
          </w:p>
        </w:tc>
        <w:tc>
          <w:p>
            <w:pPr>
              <w:pStyle w:val="Compact"/>
              <w:jc w:val="left"/>
            </w:pPr>
            <w:r>
              <w:t xml:space="preserve">1,749 (27)</w:t>
            </w:r>
          </w:p>
        </w:tc>
        <w:tc>
          <w:p>
            <w:pPr>
              <w:pStyle w:val="Compact"/>
              <w:jc w:val="left"/>
            </w:pPr>
            <w:r>
              <w:t xml:space="preserve">3,673 (57)</w:t>
            </w:r>
          </w:p>
        </w:tc>
        <w:tc>
          <w:p>
            <w:pPr>
              <w:pStyle w:val="Compact"/>
              <w:jc w:val="left"/>
            </w:pPr>
            <w:r>
              <w:t xml:space="preserve">1,030</w:t>
            </w:r>
            <w:r>
              <w:t xml:space="preserve"> </w:t>
            </w:r>
            <w:r>
              <w:t xml:space="preserve">(16)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Tramadol PO</w:t>
            </w:r>
          </w:p>
        </w:tc>
        <w:tc>
          <w:p>
            <w:pPr>
              <w:pStyle w:val="Compact"/>
              <w:jc w:val="left"/>
            </w:pPr>
            <w:r>
              <w:t xml:space="preserve">91,678</w:t>
            </w:r>
          </w:p>
        </w:tc>
        <w:tc>
          <w:p>
            <w:pPr>
              <w:pStyle w:val="Compact"/>
              <w:jc w:val="left"/>
            </w:pPr>
            <w:r>
              <w:t xml:space="preserve">68,959 (75)</w:t>
            </w:r>
          </w:p>
        </w:tc>
        <w:tc>
          <w:p>
            <w:pPr>
              <w:pStyle w:val="Compact"/>
              <w:jc w:val="left"/>
            </w:pPr>
            <w:r>
              <w:t xml:space="preserve">18,135 (20)</w:t>
            </w:r>
          </w:p>
        </w:tc>
        <w:tc>
          <w:p>
            <w:pPr>
              <w:pStyle w:val="Compact"/>
              <w:jc w:val="left"/>
            </w:pPr>
            <w:r>
              <w:t xml:space="preserve">4,111 (4)</w:t>
            </w:r>
          </w:p>
        </w:tc>
        <w:tc>
          <w:p>
            <w:pPr>
              <w:pStyle w:val="Compact"/>
              <w:jc w:val="left"/>
            </w:pPr>
            <w:r>
              <w:t xml:space="preserve">473</w:t>
            </w:r>
            <w:r>
              <w:t xml:space="preserve"> </w:t>
            </w:r>
            <w:r>
              <w:t xml:space="preserve">(1)</w:t>
            </w:r>
          </w:p>
        </w:tc>
      </w:tr>
    </w:tbl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2" w:name="discussion"/>
      <w:bookmarkEnd w:id="32"/>
      <w:r>
        <w:t xml:space="preserve">Discussion</w:t>
      </w:r>
    </w:p>
    <w:p>
      <w:pPr>
        <w:pStyle w:val="FirstParagraph"/>
      </w:pPr>
      <m:oMath/>
    </w:p>
    <w:p>
      <w:pPr>
        <w:numPr>
          <w:numId w:val="1001"/>
          <w:ilvl w:val="0"/>
        </w:numPr>
      </w:pPr>
      <w:r>
        <w:t xml:space="preserve">Represent roughly 5% of all opioid prescriptions in Ohio in</w:t>
      </w:r>
      <w:r>
        <w:t xml:space="preserve"> </w:t>
      </w:r>
      <w:r>
        <w:t xml:space="preserve">2016 (of Ohio Board of Pharmacy 2016)</w:t>
      </w:r>
    </w:p>
    <w:p>
      <w:pPr>
        <w:numPr>
          <w:numId w:val="1001"/>
          <w:ilvl w:val="0"/>
        </w:numPr>
      </w:pPr>
      <m:oMath/>
      <w:r>
        <w:t xml:space="preserve">Can’t evaluate regimen because possible that opioids</w:t>
      </w:r>
      <w:r>
        <w:t xml:space="preserve"> </w:t>
      </w:r>
      <w:r>
        <w:t xml:space="preserve">were prescribed before January 1, 2016 and December 31, 2016. </w:t>
      </w:r>
    </w:p>
    <w:p>
      <w:pPr>
        <w:pStyle w:val="FirstParagraph"/>
      </w:pPr>
      <m:oMath/>
    </w:p>
    <w:p>
      <w:pPr>
        <w:pStyle w:val="BodyText"/>
      </w:pPr>
      <m:oMath/>
    </w:p>
    <w:p>
      <w:pPr>
        <w:pStyle w:val="Heading1"/>
      </w:pPr>
      <w:bookmarkStart w:id="33" w:name="acknowledgements"/>
      <w:bookmarkEnd w:id="33"/>
      <w:r>
        <w:t xml:space="preserve">Acknowledgements</w:t>
      </w:r>
    </w:p>
    <w:p>
      <w:pPr>
        <w:pStyle w:val="FirstParagraph"/>
      </w:pPr>
      <w:r>
        <w:br w:type="textWrapping"/>
      </w:r>
      <w:r>
        <w:t xml:space="preserve">Acknowledgements to Sajad Shaterian for his assistance in extracting</w:t>
      </w:r>
      <w:r>
        <w:t xml:space="preserve"> </w:t>
      </w:r>
      <w:r>
        <w:t xml:space="preserve">dosing information from the prescription instructions.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4" w:name="references"/>
      <w:bookmarkEnd w:id="34"/>
      <w:r>
        <w:t xml:space="preserve">References</w:t>
      </w:r>
    </w:p>
    <w:p>
      <w:pPr>
        <w:pStyle w:val="FirstParagraph"/>
      </w:pPr>
      <w:r>
        <w:t xml:space="preserve">Kolodny, A., D. T. Courtwright, C. S. Hwang, P. Kreiner, J. L. Eadie, T. W. Clark, and G. C. Alexander. 2015.</w:t>
      </w:r>
      <w:r>
        <w:t xml:space="preserve"> </w:t>
      </w:r>
      <w:r>
        <w:t xml:space="preserve">“</w:t>
      </w:r>
      <w:r>
        <w:t xml:space="preserve">The Prescription Opioid and Heroin Crisis: a Public Health Approach to an Epidemic of Addiction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Annual Review of Public Health</w:t>
      </w:r>
      <w:r>
        <w:t xml:space="preserve"> </w:t>
      </w:r>
      <w:r>
        <w:t xml:space="preserve">36 (March): 559–74. doi:10.1146/annurev-publhealth-031914-122957 [doi].</w:t>
      </w:r>
    </w:p>
    <w:p>
      <w:pPr>
        <w:pStyle w:val="BodyText"/>
      </w:pPr>
      <w:r>
        <w:t xml:space="preserve">Ahrnsbrak, R., J. Bose, SL Hedden, RN Lipari, and E. Park-Lee. 2017.</w:t>
      </w:r>
      <w:r>
        <w:t xml:space="preserve"> </w:t>
      </w:r>
      <w:r>
        <w:t xml:space="preserve">“</w:t>
      </w:r>
      <w:r>
        <w:t xml:space="preserve">Key Substance Use and Mental Health Indicators in the United States: Results from the 2016 National Survey on Drug Use and Health (HHS Publication No. SMA 17-5044, NSDUH Series H-52)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Center for Behavioral Health Statistics and Quality, Substance Abuse and Mental Health Services Administration (SAMHSA).NSDUH Data Review.</w:t>
      </w:r>
      <w:hyperlink r:id="rId35">
        <w:r>
          <w:rPr>
            <w:rStyle w:val="Hyperlink"/>
            <w:i/>
          </w:rPr>
          <w:t xml:space="preserve">https://Www.samhsa.gov/Data/Sites/Default/Files/NSDUH-FFR1-2016/NSDUH-FFR1-2016.Htm.Published</w:t>
        </w:r>
      </w:hyperlink>
      <w:r>
        <w:rPr>
          <w:i/>
        </w:rPr>
        <w:t xml:space="preserve"> </w:t>
      </w:r>
      <w:r>
        <w:rPr>
          <w:i/>
        </w:rPr>
        <w:t xml:space="preserve">September</w:t>
      </w:r>
      <w:r>
        <w:t xml:space="preserve">.</w:t>
      </w:r>
    </w:p>
    <w:p>
      <w:pPr>
        <w:pStyle w:val="BodyText"/>
      </w:pPr>
      <w:r>
        <w:t xml:space="preserve">Seth, P., L. Scholl, R. A. Rudd, and S. Bacon. 2018.</w:t>
      </w:r>
      <w:r>
        <w:t xml:space="preserve"> </w:t>
      </w:r>
      <w:r>
        <w:t xml:space="preserve">“</w:t>
      </w:r>
      <w:r>
        <w:t xml:space="preserve">Overdose Deaths Involving Opioids, Cocaine, and Psychostimulants - United States, 2015-2016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MMWR.Morbidity and Mortality Weekly Report</w:t>
      </w:r>
      <w:r>
        <w:t xml:space="preserve"> </w:t>
      </w:r>
      <w:r>
        <w:t xml:space="preserve">67 (12): 349–58. doi:10.15585/mmwr.mm6712a1 [doi].</w:t>
      </w:r>
    </w:p>
    <w:p>
      <w:pPr>
        <w:pStyle w:val="BodyText"/>
      </w:pPr>
      <w:r>
        <w:t xml:space="preserve">The Council of Economic Advisers, Executive Of ce of the President of the United States. 2017.</w:t>
      </w:r>
      <w:r>
        <w:t xml:space="preserve"> </w:t>
      </w:r>
      <w:r>
        <w:rPr>
          <w:i/>
        </w:rPr>
        <w:t xml:space="preserve">The Underestimated Cost of the Opioid Crisis</w:t>
      </w:r>
      <w:r>
        <w:t xml:space="preserve">. Washington D.C.: Council of Economic Advisors.</w:t>
      </w:r>
      <w:r>
        <w:t xml:space="preserve"> </w:t>
      </w:r>
      <w:hyperlink r:id="rId36">
        <w:r>
          <w:rPr>
            <w:rStyle w:val="Hyperlink"/>
          </w:rPr>
          <w:t xml:space="preserve">https://www.whitehouse.gov/sites/whitehouse.gov/files/images/The%20Underestimated%20Cost%20of%20the%20Opioid%20Crisis.pdf.</w:t>
        </w:r>
      </w:hyperlink>
    </w:p>
    <w:p>
      <w:pPr>
        <w:pStyle w:val="BodyText"/>
      </w:pPr>
      <w:r>
        <w:t xml:space="preserve">Guy, Gery P., Kun Zhang, Michele K. Bohm, Jan Losby, Brian Lewis, Randall Young, Louise B. Murphy, and Deborah Dowell. 2017.</w:t>
      </w:r>
      <w:r>
        <w:t xml:space="preserve"> </w:t>
      </w:r>
      <w:r>
        <w:t xml:space="preserve">“</w:t>
      </w:r>
      <w:r>
        <w:t xml:space="preserve">Vital Signs: Changes in Opioid Prescribing in the United States 20062015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MMWR</w:t>
      </w:r>
      <w:r>
        <w:rPr>
          <w:i/>
        </w:rPr>
        <w:t xml:space="preserve">. Morbidity and Mortality Weekly Report</w:t>
      </w:r>
      <w:r>
        <w:t xml:space="preserve"> </w:t>
      </w:r>
      <w:r>
        <w:t xml:space="preserve">66 (26). Centers for Disease Control</w:t>
      </w:r>
      <w:r>
        <w:t xml:space="preserve"> </w:t>
      </w:r>
      <w:r>
        <w:t xml:space="preserve">MMWR</w:t>
      </w:r>
      <w:r>
        <w:t xml:space="preserve"> </w:t>
      </w:r>
      <w:r>
        <w:t xml:space="preserve">Office: 697–704. doi:10.15585/mmwr.mm6626a4.</w:t>
      </w:r>
    </w:p>
    <w:p>
      <w:pPr>
        <w:pStyle w:val="BodyText"/>
      </w:pPr>
      <w:r>
        <w:t xml:space="preserve">Rudd, Rose A., Noah Aleshire, Jon E. Zibbell, and R. Matthew Gladden. 2016.</w:t>
      </w:r>
      <w:r>
        <w:t xml:space="preserve"> </w:t>
      </w:r>
      <w:r>
        <w:t xml:space="preserve">“</w:t>
      </w:r>
      <w:r>
        <w:t xml:space="preserve">Increases in Drug and Opioid Overdose Deaths—United States, 2000–2014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Transplantation</w:t>
      </w:r>
      <w:r>
        <w:t xml:space="preserve"> </w:t>
      </w:r>
      <w:r>
        <w:t xml:space="preserve">16 (4): 1323–27.</w:t>
      </w:r>
    </w:p>
    <w:p>
      <w:pPr>
        <w:pStyle w:val="BodyText"/>
      </w:pPr>
      <w:r>
        <w:t xml:space="preserve">Muhuri, Pradip K., Joseph C. Gfroerer, and M. Christine Davies. 2013.</w:t>
      </w:r>
      <w:r>
        <w:t xml:space="preserve"> </w:t>
      </w:r>
      <w:r>
        <w:t xml:space="preserve">“</w:t>
      </w:r>
      <w:r>
        <w:t xml:space="preserve">CBHSQ Data Review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Center for Behavioral Health Statistics and Quality, SAMHSA</w:t>
      </w:r>
      <w:r>
        <w:t xml:space="preserve">, 1–17.</w:t>
      </w:r>
    </w:p>
    <w:p>
      <w:pPr>
        <w:pStyle w:val="BodyText"/>
      </w:pPr>
      <w:r>
        <w:t xml:space="preserve">of Ohio Board of Pharmacy, State. n.d.</w:t>
      </w:r>
      <w:r>
        <w:t xml:space="preserve"> </w:t>
      </w:r>
      <w:r>
        <w:t xml:space="preserve">“</w:t>
      </w:r>
      <w:r>
        <w:t xml:space="preserve">For Prescribers - New Limits on Prescription Opioids for Acute Pain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Dowell, Deborah, Tamara M. Haegerich, and Roger Chou. 2016.</w:t>
      </w:r>
      <w:r>
        <w:t xml:space="preserve"> </w:t>
      </w:r>
      <w:r>
        <w:t xml:space="preserve">“</w:t>
      </w:r>
      <w:r>
        <w:t xml:space="preserve">CDC Guideline for Prescribing Opioids for Chronic Pain—United States, 2016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Jama</w:t>
      </w:r>
      <w:r>
        <w:t xml:space="preserve"> </w:t>
      </w:r>
      <w:r>
        <w:t xml:space="preserve">315 (15): 1624–45.</w:t>
      </w:r>
    </w:p>
    <w:p>
      <w:pPr>
        <w:pStyle w:val="BodyText"/>
      </w:pPr>
      <w:r>
        <w:t xml:space="preserve">Vowles, K. E., M. L. McEntee, P. S. Julnes, T. Frohe, J. P. Ney, and D. N. van der Goes. 2015.</w:t>
      </w:r>
      <w:r>
        <w:t xml:space="preserve"> </w:t>
      </w:r>
      <w:r>
        <w:t xml:space="preserve">“</w:t>
      </w:r>
      <w:r>
        <w:t xml:space="preserve">Rates of Opioid Misuse, Abuse, and Addiction in Chronic Pain: a Systematic Review and Data Synthesis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Pain</w:t>
      </w:r>
      <w:r>
        <w:t xml:space="preserve"> </w:t>
      </w:r>
      <w:r>
        <w:t xml:space="preserve">156 (4): 569–76. doi:10.1097/01.j.pain.0000460357.01998.f1 [doi].</w:t>
      </w:r>
    </w:p>
    <w:p>
      <w:pPr>
        <w:pStyle w:val="BodyText"/>
      </w:pPr>
      <w:r>
        <w:t xml:space="preserve">Fishbain, David A., Brandly Cole, John Lewis, Hubert L. Rosomoff, and R. Steele Rosomoff. 2007.</w:t>
      </w:r>
      <w:r>
        <w:t xml:space="preserve"> </w:t>
      </w:r>
      <w:r>
        <w:t xml:space="preserve">“</w:t>
      </w:r>
      <w:r>
        <w:t xml:space="preserve">What Percentage of Chronic Nonmalignant Pain Patients Exposed to Chronic Opioid Analgesic Therapy Develop Abuse/Addiction and/or Aberrant Drug-Related Behaviors? A Structured Evidence-Based Review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Pain Medicine</w:t>
      </w:r>
      <w:r>
        <w:t xml:space="preserve"> </w:t>
      </w:r>
      <w:r>
        <w:t xml:space="preserve">9 (4): 444–59.</w:t>
      </w:r>
    </w:p>
    <w:p>
      <w:pPr>
        <w:pStyle w:val="BodyText"/>
      </w:pPr>
      <w:r>
        <w:t xml:space="preserve">Carlson, Robert G., Ramzi W. Nahhas, Silvia S. Martins, and Raminta Daniulaityte. 2016.</w:t>
      </w:r>
      <w:r>
        <w:t xml:space="preserve"> </w:t>
      </w:r>
      <w:r>
        <w:t xml:space="preserve">“</w:t>
      </w:r>
      <w:r>
        <w:t xml:space="preserve">Predictors of Transition to Heroin Use among Initially Non-Opioid Dependent Illicit Pharmaceutical Opioid Users: A Natural History Study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Drug &amp; Alcohol Dependence</w:t>
      </w:r>
      <w:r>
        <w:t xml:space="preserve"> </w:t>
      </w:r>
      <w:r>
        <w:t xml:space="preserve">160: 127–34.</w:t>
      </w:r>
    </w:p>
    <w:p>
      <w:pPr>
        <w:pStyle w:val="BodyText"/>
      </w:pPr>
      <w:r>
        <w:t xml:space="preserve">for Medicare, Centers, and Medicaid Services. 2017.</w:t>
      </w:r>
      <w:r>
        <w:t xml:space="preserve"> </w:t>
      </w:r>
      <w:r>
        <w:rPr>
          <w:i/>
        </w:rPr>
        <w:t xml:space="preserve">Opioid Oral Morphine Milligram Equivalent (MME) Conversion Factors</w:t>
      </w:r>
      <w:r>
        <w:t xml:space="preserve">. Centers for Medicare and Medicaid Services.</w:t>
      </w:r>
      <w:r>
        <w:t xml:space="preserve"> </w:t>
      </w:r>
      <w:hyperlink r:id="rId37">
        <w:r>
          <w:rPr>
            <w:rStyle w:val="Hyperlink"/>
          </w:rPr>
          <w:t xml:space="preserve">https://www.cms.gov/Medicare/Prescription-Drug-Coverage/PrescriptionDrugCovContra/Downloads/Opioid-Morphine-EQ-Conversion-Factors-Aug-2017.pdf.</w:t>
        </w:r>
      </w:hyperlink>
    </w:p>
    <w:p>
      <w:pPr>
        <w:pStyle w:val="BodyText"/>
      </w:pPr>
      <w:r>
        <w:t xml:space="preserve">of Ohio Board of Pharmacy, State. 2016.</w:t>
      </w:r>
      <w:r>
        <w:t xml:space="preserve"> </w:t>
      </w:r>
      <w:r>
        <w:t xml:space="preserve">“</w:t>
      </w:r>
      <w:r>
        <w:t xml:space="preserve">2016 Annual Report</w:t>
      </w:r>
      <w:r>
        <w:t xml:space="preserve">”</w:t>
      </w:r>
      <w:r>
        <w:t xml:space="preserve">. 10. State of Ohio Board of Pharmacy.</w:t>
      </w:r>
      <w:r>
        <w:t xml:space="preserve"> </w:t>
      </w:r>
      <w:hyperlink r:id="rId38">
        <w:r>
          <w:rPr>
            <w:rStyle w:val="Hyperlink"/>
          </w:rPr>
          <w:t xml:space="preserve">https://www.ohiopmp.gov/documents/Annual%20Report%20(2016).pdf.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057e35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5b25e8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1" Target="media/rId31.svg" /><Relationship Type="http://schemas.openxmlformats.org/officeDocument/2006/relationships/hyperlink" Id="rId35" Target="https://Www.samhsa.gov/Data/Sites/Default/Files/NSDUH-FFR1-2016/NSDUH-FFR1-2016.Htm.Published" TargetMode="External" /><Relationship Type="http://schemas.openxmlformats.org/officeDocument/2006/relationships/hyperlink" Id="rId37" Target="https://www.cms.gov/Medicare/Prescription-Drug-Coverage/PrescriptionDrugCovContra/Downloads/Opioid-Morphine-EQ-Conversion-Factors-Aug-2017.pdf." TargetMode="External" /><Relationship Type="http://schemas.openxmlformats.org/officeDocument/2006/relationships/hyperlink" Id="rId38" Target="https://www.ohiopmp.gov/documents/Annual%20Report%20(2016).pdf." TargetMode="External" /><Relationship Type="http://schemas.openxmlformats.org/officeDocument/2006/relationships/hyperlink" Id="rId36" Target="https://www.whitehouse.gov/sites/whitehouse.gov/files/images/The%20Underestimated%20Cost%20of%20the%20Opioid%20Crisis.pdf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s://Www.samhsa.gov/Data/Sites/Default/Files/NSDUH-FFR1-2016/NSDUH-FFR1-2016.Htm.Published" TargetMode="External" /><Relationship Type="http://schemas.openxmlformats.org/officeDocument/2006/relationships/hyperlink" Id="rId37" Target="https://www.cms.gov/Medicare/Prescription-Drug-Coverage/PrescriptionDrugCovContra/Downloads/Opioid-Morphine-EQ-Conversion-Factors-Aug-2017.pdf." TargetMode="External" /><Relationship Type="http://schemas.openxmlformats.org/officeDocument/2006/relationships/hyperlink" Id="rId38" Target="https://www.ohiopmp.gov/documents/Annual%20Report%20(2016).pdf." TargetMode="External" /><Relationship Type="http://schemas.openxmlformats.org/officeDocument/2006/relationships/hyperlink" Id="rId36" Target="https://www.whitehouse.gov/sites/whitehouse.gov/files/images/The%20Underestimated%20Cost%20of%20the%20Opioid%20Crisis.pdf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Opioid Prescriptions at a Large Hospital System in Northeast Ohio: Assessing Compliance with Norms      </dc:title>
  <dc:creator>Nakul Singh</dc:creator>
  <dcterms:created xsi:type="dcterms:W3CDTF">2018-05-18T23:43:22Z</dcterms:created>
  <dcterms:modified xsi:type="dcterms:W3CDTF">2018-05-18T23:43:22Z</dcterms:modified>
</cp:coreProperties>
</file>