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184DA" w14:textId="24A16B73" w:rsidR="00CE6EAA" w:rsidRPr="006F463E" w:rsidRDefault="00AF37B0" w:rsidP="006E5F27">
      <w:pPr>
        <w:spacing w:before="100" w:beforeAutospacing="1" w:after="100" w:afterAutospacing="1"/>
        <w:jc w:val="center"/>
        <w:rPr>
          <w:i/>
          <w:szCs w:val="24"/>
        </w:rPr>
      </w:pPr>
      <w:r w:rsidRPr="006F463E">
        <w:rPr>
          <w:i/>
          <w:szCs w:val="24"/>
        </w:rPr>
        <w:t>Global Biogeochemical Cycles</w:t>
      </w:r>
    </w:p>
    <w:p w14:paraId="2CB29489" w14:textId="77777777" w:rsidR="00FF3503" w:rsidRPr="006F463E" w:rsidRDefault="00FF3503" w:rsidP="00FF3503">
      <w:pPr>
        <w:spacing w:before="100" w:beforeAutospacing="1" w:after="100" w:afterAutospacing="1"/>
        <w:jc w:val="center"/>
        <w:rPr>
          <w:szCs w:val="24"/>
        </w:rPr>
      </w:pPr>
      <w:r w:rsidRPr="006F463E">
        <w:rPr>
          <w:szCs w:val="24"/>
        </w:rPr>
        <w:t>Supporting Information for</w:t>
      </w:r>
    </w:p>
    <w:p w14:paraId="001E2469" w14:textId="77777777" w:rsidR="00AF37B0" w:rsidRPr="006F463E" w:rsidRDefault="00AF37B0" w:rsidP="00AF37B0">
      <w:pPr>
        <w:jc w:val="center"/>
        <w:rPr>
          <w:b/>
          <w:bCs/>
          <w:szCs w:val="24"/>
        </w:rPr>
      </w:pPr>
      <w:r w:rsidRPr="006F463E">
        <w:rPr>
          <w:b/>
          <w:bCs/>
          <w:szCs w:val="24"/>
        </w:rPr>
        <w:t>Impact of predictor variables on estimates of global sea-air CO</w:t>
      </w:r>
      <w:r w:rsidRPr="006F463E">
        <w:rPr>
          <w:b/>
          <w:bCs/>
          <w:szCs w:val="24"/>
          <w:vertAlign w:val="subscript"/>
        </w:rPr>
        <w:t>2</w:t>
      </w:r>
      <w:r w:rsidRPr="006F463E">
        <w:rPr>
          <w:b/>
          <w:bCs/>
          <w:szCs w:val="24"/>
        </w:rPr>
        <w:t xml:space="preserve"> fluxes using an Extra Trees machine learning approach</w:t>
      </w:r>
    </w:p>
    <w:p w14:paraId="615C403E" w14:textId="143A6A45" w:rsidR="00AF37B0" w:rsidRPr="006F463E" w:rsidRDefault="00AF37B0" w:rsidP="00AF37B0">
      <w:pPr>
        <w:jc w:val="center"/>
        <w:rPr>
          <w:szCs w:val="24"/>
        </w:rPr>
      </w:pPr>
      <w:r w:rsidRPr="006F463E">
        <w:rPr>
          <w:szCs w:val="24"/>
        </w:rPr>
        <w:t>Rik Wanninkhof</w:t>
      </w:r>
      <w:r w:rsidRPr="006F463E">
        <w:rPr>
          <w:szCs w:val="24"/>
          <w:vertAlign w:val="superscript"/>
        </w:rPr>
        <w:t>1</w:t>
      </w:r>
    </w:p>
    <w:p w14:paraId="2B196C62" w14:textId="77777777" w:rsidR="00AF37B0" w:rsidRPr="006F463E" w:rsidRDefault="00AF37B0" w:rsidP="00AF37B0">
      <w:pPr>
        <w:jc w:val="center"/>
        <w:rPr>
          <w:szCs w:val="24"/>
        </w:rPr>
      </w:pPr>
      <w:r w:rsidRPr="006F463E">
        <w:rPr>
          <w:szCs w:val="24"/>
        </w:rPr>
        <w:t>Joaquin Triñanes</w:t>
      </w:r>
      <w:r w:rsidRPr="006F463E">
        <w:rPr>
          <w:szCs w:val="24"/>
          <w:vertAlign w:val="superscript"/>
        </w:rPr>
        <w:t>1,2,3</w:t>
      </w:r>
    </w:p>
    <w:p w14:paraId="095FA79F" w14:textId="77777777" w:rsidR="00AF37B0" w:rsidRPr="006F463E" w:rsidRDefault="00AF37B0" w:rsidP="00AF37B0">
      <w:pPr>
        <w:jc w:val="center"/>
        <w:rPr>
          <w:szCs w:val="24"/>
        </w:rPr>
      </w:pPr>
      <w:r w:rsidRPr="006F463E">
        <w:rPr>
          <w:szCs w:val="24"/>
        </w:rPr>
        <w:t>Denis Pierrot</w:t>
      </w:r>
      <w:r w:rsidRPr="006F463E">
        <w:rPr>
          <w:szCs w:val="24"/>
          <w:vertAlign w:val="superscript"/>
        </w:rPr>
        <w:t>1</w:t>
      </w:r>
    </w:p>
    <w:p w14:paraId="35AE4532" w14:textId="77777777" w:rsidR="00AF37B0" w:rsidRPr="006F463E" w:rsidRDefault="00AF37B0" w:rsidP="00AF37B0">
      <w:pPr>
        <w:jc w:val="center"/>
        <w:rPr>
          <w:szCs w:val="24"/>
        </w:rPr>
      </w:pPr>
      <w:r w:rsidRPr="006F463E">
        <w:rPr>
          <w:szCs w:val="24"/>
        </w:rPr>
        <w:t>David R. Munro</w:t>
      </w:r>
      <w:r w:rsidRPr="006F463E">
        <w:rPr>
          <w:szCs w:val="24"/>
          <w:vertAlign w:val="superscript"/>
        </w:rPr>
        <w:t>4,5</w:t>
      </w:r>
    </w:p>
    <w:p w14:paraId="79A15F1C" w14:textId="77777777" w:rsidR="00AF37B0" w:rsidRPr="006F463E" w:rsidRDefault="00AF37B0" w:rsidP="00AF37B0">
      <w:pPr>
        <w:jc w:val="center"/>
        <w:rPr>
          <w:szCs w:val="24"/>
        </w:rPr>
      </w:pPr>
      <w:r w:rsidRPr="006F463E">
        <w:rPr>
          <w:szCs w:val="24"/>
        </w:rPr>
        <w:t>Colm Sweeney</w:t>
      </w:r>
      <w:r w:rsidRPr="006F463E">
        <w:rPr>
          <w:szCs w:val="24"/>
          <w:vertAlign w:val="superscript"/>
        </w:rPr>
        <w:t>4</w:t>
      </w:r>
    </w:p>
    <w:p w14:paraId="3ECAAE1B" w14:textId="77777777" w:rsidR="00AF37B0" w:rsidRPr="006F463E" w:rsidRDefault="00AF37B0" w:rsidP="00AF37B0">
      <w:pPr>
        <w:jc w:val="center"/>
        <w:rPr>
          <w:szCs w:val="24"/>
          <w:vertAlign w:val="superscript"/>
        </w:rPr>
      </w:pPr>
      <w:r w:rsidRPr="006F463E">
        <w:rPr>
          <w:szCs w:val="24"/>
        </w:rPr>
        <w:t>Amanda R. Fay</w:t>
      </w:r>
      <w:r w:rsidRPr="006F463E">
        <w:rPr>
          <w:szCs w:val="24"/>
          <w:vertAlign w:val="superscript"/>
        </w:rPr>
        <w:t>6</w:t>
      </w:r>
    </w:p>
    <w:p w14:paraId="40E8CB71" w14:textId="77777777" w:rsidR="006F463E" w:rsidRPr="006F463E" w:rsidRDefault="006F463E" w:rsidP="00AF37B0">
      <w:pPr>
        <w:jc w:val="center"/>
        <w:rPr>
          <w:szCs w:val="24"/>
          <w:vertAlign w:val="superscript"/>
        </w:rPr>
      </w:pPr>
    </w:p>
    <w:p w14:paraId="77247072" w14:textId="66972FE9" w:rsidR="00AF37B0" w:rsidRPr="006F463E" w:rsidRDefault="00AF37B0" w:rsidP="00AF37B0">
      <w:pPr>
        <w:pStyle w:val="ListParagraph"/>
        <w:numPr>
          <w:ilvl w:val="0"/>
          <w:numId w:val="17"/>
        </w:numPr>
        <w:contextualSpacing/>
        <w:rPr>
          <w:szCs w:val="24"/>
        </w:rPr>
      </w:pPr>
      <w:r w:rsidRPr="006F463E">
        <w:rPr>
          <w:szCs w:val="24"/>
        </w:rPr>
        <w:t xml:space="preserve">Atlantic Oceanographic and Meteorological Laboratory, National Oceanic and Atmospheric Administration, 4301 Rickenbacker Causeway, Miami, FL, USA. </w:t>
      </w:r>
    </w:p>
    <w:p w14:paraId="4BFAB535" w14:textId="77777777" w:rsidR="00AF37B0" w:rsidRPr="006F463E" w:rsidRDefault="00AF37B0" w:rsidP="00AF37B0">
      <w:pPr>
        <w:pStyle w:val="ListParagraph"/>
        <w:numPr>
          <w:ilvl w:val="0"/>
          <w:numId w:val="17"/>
        </w:numPr>
        <w:contextualSpacing/>
        <w:rPr>
          <w:szCs w:val="24"/>
        </w:rPr>
      </w:pPr>
      <w:r w:rsidRPr="006F463E">
        <w:rPr>
          <w:szCs w:val="24"/>
        </w:rPr>
        <w:t xml:space="preserve"> Cooperative Institute for Marine and Atmospheric Studies, Rosenstiel School of Marine, Atmospheric and Earth Science, University of Miami, 4600 Rickenbacker Causeway, Miami, FL, USA. </w:t>
      </w:r>
    </w:p>
    <w:p w14:paraId="6C068C64" w14:textId="77777777" w:rsidR="00AF37B0" w:rsidRPr="006F463E" w:rsidRDefault="00AF37B0" w:rsidP="00AF37B0">
      <w:pPr>
        <w:pStyle w:val="ListParagraph"/>
        <w:numPr>
          <w:ilvl w:val="0"/>
          <w:numId w:val="17"/>
        </w:numPr>
        <w:contextualSpacing/>
        <w:rPr>
          <w:szCs w:val="24"/>
        </w:rPr>
      </w:pPr>
      <w:r w:rsidRPr="006F463E">
        <w:rPr>
          <w:szCs w:val="24"/>
        </w:rPr>
        <w:t xml:space="preserve">Dept. of Electronics and Computer Science, </w:t>
      </w:r>
      <w:proofErr w:type="spellStart"/>
      <w:r w:rsidRPr="006F463E">
        <w:rPr>
          <w:szCs w:val="24"/>
        </w:rPr>
        <w:t>Universidade</w:t>
      </w:r>
      <w:proofErr w:type="spellEnd"/>
      <w:r w:rsidRPr="006F463E">
        <w:rPr>
          <w:szCs w:val="24"/>
        </w:rPr>
        <w:t xml:space="preserve"> de Santiago de Compostela, Santiago, Spain</w:t>
      </w:r>
    </w:p>
    <w:p w14:paraId="5244C5DF" w14:textId="77777777" w:rsidR="00AF37B0" w:rsidRPr="006F463E" w:rsidRDefault="00AF37B0" w:rsidP="00AF37B0">
      <w:pPr>
        <w:pStyle w:val="ListParagraph"/>
        <w:numPr>
          <w:ilvl w:val="0"/>
          <w:numId w:val="17"/>
        </w:numPr>
        <w:contextualSpacing/>
        <w:rPr>
          <w:szCs w:val="24"/>
        </w:rPr>
      </w:pPr>
      <w:r w:rsidRPr="006F463E">
        <w:rPr>
          <w:szCs w:val="24"/>
        </w:rPr>
        <w:t>Global Monitoring Laboratory, National Oceanic and Atmospheric Administration, Boulder, CO, USA</w:t>
      </w:r>
    </w:p>
    <w:p w14:paraId="3367EB6E" w14:textId="77777777" w:rsidR="00AF37B0" w:rsidRPr="006F463E" w:rsidRDefault="00AF37B0" w:rsidP="00AF37B0">
      <w:pPr>
        <w:pStyle w:val="ListParagraph"/>
        <w:numPr>
          <w:ilvl w:val="0"/>
          <w:numId w:val="17"/>
        </w:numPr>
        <w:contextualSpacing/>
        <w:rPr>
          <w:szCs w:val="24"/>
        </w:rPr>
      </w:pPr>
      <w:r w:rsidRPr="006F463E">
        <w:rPr>
          <w:szCs w:val="24"/>
        </w:rPr>
        <w:t>Cooperative Institute for Research in Environmental Sciences (CIRES), University of Colorado, Boulder, CO, USA</w:t>
      </w:r>
    </w:p>
    <w:p w14:paraId="34BFB89F" w14:textId="77777777" w:rsidR="00AF37B0" w:rsidRPr="006F463E" w:rsidRDefault="00AF37B0" w:rsidP="00AF37B0">
      <w:pPr>
        <w:pStyle w:val="ListParagraph"/>
        <w:numPr>
          <w:ilvl w:val="0"/>
          <w:numId w:val="17"/>
        </w:numPr>
        <w:contextualSpacing/>
        <w:rPr>
          <w:szCs w:val="24"/>
        </w:rPr>
      </w:pPr>
      <w:r w:rsidRPr="006F463E">
        <w:rPr>
          <w:szCs w:val="24"/>
        </w:rPr>
        <w:t>Columbia University and Lamont Doherty Earth Observatory, Palisades NY, USA</w:t>
      </w:r>
    </w:p>
    <w:p w14:paraId="71891EDF" w14:textId="5115FC59" w:rsidR="00094365" w:rsidRPr="006F463E" w:rsidRDefault="00094365" w:rsidP="00825950">
      <w:pPr>
        <w:spacing w:before="100" w:beforeAutospacing="1" w:after="100" w:afterAutospacing="1"/>
        <w:jc w:val="center"/>
        <w:rPr>
          <w:szCs w:val="24"/>
        </w:rPr>
      </w:pPr>
    </w:p>
    <w:p w14:paraId="347237BD" w14:textId="77777777" w:rsidR="00094365" w:rsidRPr="006F463E" w:rsidRDefault="00094365" w:rsidP="000B2E64">
      <w:pPr>
        <w:spacing w:before="100" w:beforeAutospacing="1" w:after="100" w:afterAutospacing="1"/>
        <w:jc w:val="center"/>
        <w:rPr>
          <w:szCs w:val="24"/>
        </w:rPr>
      </w:pPr>
    </w:p>
    <w:p w14:paraId="1CD128B3" w14:textId="77777777" w:rsidR="00111843" w:rsidRPr="006F463E" w:rsidRDefault="00111843" w:rsidP="00111843">
      <w:pPr>
        <w:rPr>
          <w:b/>
          <w:szCs w:val="24"/>
        </w:rPr>
      </w:pPr>
      <w:r w:rsidRPr="006F463E">
        <w:rPr>
          <w:b/>
          <w:szCs w:val="24"/>
        </w:rPr>
        <w:t>Contents of this file</w:t>
      </w:r>
      <w:r w:rsidR="00E43D2D" w:rsidRPr="006F463E">
        <w:rPr>
          <w:b/>
          <w:szCs w:val="24"/>
        </w:rPr>
        <w:t xml:space="preserve"> </w:t>
      </w:r>
    </w:p>
    <w:p w14:paraId="1F13291B" w14:textId="77777777" w:rsidR="00E43D2D" w:rsidRPr="006F463E" w:rsidRDefault="00E43D2D" w:rsidP="00111843">
      <w:pPr>
        <w:rPr>
          <w:szCs w:val="24"/>
        </w:rPr>
      </w:pPr>
    </w:p>
    <w:p w14:paraId="3D1CAEA0" w14:textId="5B1C0FC9" w:rsidR="00111843" w:rsidRPr="006F463E" w:rsidRDefault="00111843" w:rsidP="00111843">
      <w:pPr>
        <w:ind w:left="720"/>
        <w:rPr>
          <w:szCs w:val="24"/>
        </w:rPr>
      </w:pPr>
      <w:r w:rsidRPr="006F463E">
        <w:rPr>
          <w:szCs w:val="24"/>
        </w:rPr>
        <w:t xml:space="preserve">Text </w:t>
      </w:r>
      <w:r w:rsidR="000607F4" w:rsidRPr="006F463E">
        <w:rPr>
          <w:szCs w:val="24"/>
        </w:rPr>
        <w:t xml:space="preserve"> Introduction</w:t>
      </w:r>
    </w:p>
    <w:p w14:paraId="795CD27E" w14:textId="59E07162" w:rsidR="00111843" w:rsidRPr="0019185B" w:rsidRDefault="00111843" w:rsidP="0019185B">
      <w:pPr>
        <w:ind w:left="720"/>
        <w:rPr>
          <w:szCs w:val="24"/>
        </w:rPr>
      </w:pPr>
      <w:r w:rsidRPr="006F463E">
        <w:rPr>
          <w:szCs w:val="24"/>
        </w:rPr>
        <w:t>Figures S1 to S</w:t>
      </w:r>
      <w:r w:rsidR="00144319" w:rsidRPr="006F463E">
        <w:rPr>
          <w:szCs w:val="24"/>
        </w:rPr>
        <w:t>2</w:t>
      </w:r>
    </w:p>
    <w:p w14:paraId="79042C92" w14:textId="77777777" w:rsidR="00FF3503" w:rsidRPr="006F463E" w:rsidRDefault="00FF3503" w:rsidP="00FF3503">
      <w:pPr>
        <w:spacing w:before="100" w:beforeAutospacing="1" w:after="100" w:afterAutospacing="1"/>
        <w:rPr>
          <w:b/>
          <w:szCs w:val="24"/>
        </w:rPr>
      </w:pPr>
      <w:r w:rsidRPr="006F463E">
        <w:rPr>
          <w:b/>
          <w:bCs/>
          <w:szCs w:val="24"/>
        </w:rPr>
        <w:t>Introduction</w:t>
      </w:r>
      <w:r w:rsidRPr="006F463E">
        <w:rPr>
          <w:b/>
          <w:szCs w:val="24"/>
        </w:rPr>
        <w:t xml:space="preserve"> </w:t>
      </w:r>
    </w:p>
    <w:p w14:paraId="218F825A" w14:textId="539CDE06" w:rsidR="00FF3503" w:rsidRPr="006F463E" w:rsidRDefault="009E637B" w:rsidP="009E637B">
      <w:pPr>
        <w:spacing w:before="100" w:beforeAutospacing="1" w:after="100" w:afterAutospacing="1"/>
        <w:rPr>
          <w:szCs w:val="24"/>
        </w:rPr>
      </w:pPr>
      <w:r w:rsidRPr="006F463E">
        <w:rPr>
          <w:szCs w:val="24"/>
        </w:rPr>
        <w:t xml:space="preserve">The supplemental figures show the comparison of training the AOML_ET with dataset deemed of good quality with an uncertainty in individual observation </w:t>
      </w:r>
      <w:r w:rsidR="001C738E" w:rsidRPr="006F463E">
        <w:rPr>
          <w:szCs w:val="24"/>
        </w:rPr>
        <w:t xml:space="preserve">of </w:t>
      </w:r>
      <w:r w:rsidRPr="006F463E">
        <w:rPr>
          <w:szCs w:val="24"/>
        </w:rPr>
        <w:t>less th</w:t>
      </w:r>
      <w:r w:rsidR="001C738E" w:rsidRPr="006F463E">
        <w:rPr>
          <w:szCs w:val="24"/>
        </w:rPr>
        <w:t>a</w:t>
      </w:r>
      <w:r w:rsidRPr="006F463E">
        <w:rPr>
          <w:szCs w:val="24"/>
        </w:rPr>
        <w:t>n 2 µatm</w:t>
      </w:r>
      <w:r w:rsidR="001C738E" w:rsidRPr="006F463E">
        <w:rPr>
          <w:szCs w:val="24"/>
        </w:rPr>
        <w:t xml:space="preserve"> (SOCAT dataset QC of A or B) with the default SOCAT dataset used to create the monthly 1˚ by 1˚ fields with uncertainties of &lt; 5 µatm (SOCAT dataset QC A,B, C or D). For details on the SOCATQC criteria see: https://socat.info/wp-content/uploads/2020/12/2018_SOCAT_QC_Cookbook_final_with-v2021-contact-details.pdf</w:t>
      </w:r>
    </w:p>
    <w:p w14:paraId="19886F0B" w14:textId="77777777" w:rsidR="002C030F" w:rsidRPr="006F463E" w:rsidRDefault="002C030F">
      <w:pPr>
        <w:rPr>
          <w:szCs w:val="24"/>
        </w:rPr>
      </w:pPr>
    </w:p>
    <w:p w14:paraId="32CE9E2D" w14:textId="6B82888E" w:rsidR="003E1980" w:rsidRPr="006F463E" w:rsidRDefault="00BB6341" w:rsidP="009A5287">
      <w:pPr>
        <w:pStyle w:val="SMcaption"/>
        <w:rPr>
          <w:szCs w:val="24"/>
        </w:rPr>
      </w:pPr>
      <w:r w:rsidRPr="006F463E">
        <w:rPr>
          <w:noProof/>
          <w:szCs w:val="24"/>
        </w:rPr>
        <w:lastRenderedPageBreak/>
        <w:drawing>
          <wp:inline distT="0" distB="0" distL="0" distR="0" wp14:anchorId="09BDAAC6" wp14:editId="0E858C10">
            <wp:extent cx="5486400" cy="6144895"/>
            <wp:effectExtent l="0" t="0" r="0" b="1905"/>
            <wp:docPr id="20778336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833637" name="Picture 207783363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6144895"/>
                    </a:xfrm>
                    <a:prstGeom prst="rect">
                      <a:avLst/>
                    </a:prstGeom>
                  </pic:spPr>
                </pic:pic>
              </a:graphicData>
            </a:graphic>
          </wp:inline>
        </w:drawing>
      </w:r>
    </w:p>
    <w:p w14:paraId="4501CCC0" w14:textId="77777777" w:rsidR="00AF37B0" w:rsidRPr="006F463E" w:rsidRDefault="00227D86" w:rsidP="00AF37B0">
      <w:pPr>
        <w:rPr>
          <w:szCs w:val="24"/>
        </w:rPr>
      </w:pPr>
      <w:r w:rsidRPr="006F463E">
        <w:rPr>
          <w:szCs w:val="24"/>
        </w:rPr>
        <w:t>Figure S1</w:t>
      </w:r>
      <w:r w:rsidR="003E1980" w:rsidRPr="006F463E">
        <w:rPr>
          <w:szCs w:val="24"/>
        </w:rPr>
        <w:t xml:space="preserve">. </w:t>
      </w:r>
      <w:r w:rsidR="00AF37B0" w:rsidRPr="006F463E">
        <w:rPr>
          <w:szCs w:val="24"/>
        </w:rPr>
        <w:t xml:space="preserve">Number of monthly 1˚ by 1˚ grid cells with SOCAT QC flag A,B,C,D (uncertainty &lt;5 µatm) (red line), and QC flag A, B (uncertainty &lt;2 µatm) (blue line). From October 1997 through 2020 there were 264,496 cells with data (269 months) of which 180,160 (268 months) had A,B data. </w:t>
      </w:r>
    </w:p>
    <w:p w14:paraId="34CE76F8" w14:textId="77777777" w:rsidR="005314B5" w:rsidRPr="006F463E" w:rsidRDefault="005314B5" w:rsidP="00477182">
      <w:pPr>
        <w:pStyle w:val="SMcaption"/>
        <w:rPr>
          <w:szCs w:val="24"/>
        </w:rPr>
      </w:pPr>
    </w:p>
    <w:p w14:paraId="06B998FB" w14:textId="0BE0CB4B" w:rsidR="00BB6341" w:rsidRPr="006F463E" w:rsidRDefault="00BB6341" w:rsidP="00477182">
      <w:pPr>
        <w:pStyle w:val="SMcaption"/>
        <w:rPr>
          <w:szCs w:val="24"/>
        </w:rPr>
      </w:pPr>
      <w:r w:rsidRPr="006F463E">
        <w:rPr>
          <w:noProof/>
          <w:szCs w:val="24"/>
        </w:rPr>
        <w:lastRenderedPageBreak/>
        <w:drawing>
          <wp:inline distT="0" distB="0" distL="0" distR="0" wp14:anchorId="49E3A754" wp14:editId="29CBE7BA">
            <wp:extent cx="4318000" cy="2451100"/>
            <wp:effectExtent l="0" t="0" r="0" b="0"/>
            <wp:docPr id="16386173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17305" name="Picture 163861730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8000" cy="2451100"/>
                    </a:xfrm>
                    <a:prstGeom prst="rect">
                      <a:avLst/>
                    </a:prstGeom>
                  </pic:spPr>
                </pic:pic>
              </a:graphicData>
            </a:graphic>
          </wp:inline>
        </w:drawing>
      </w:r>
    </w:p>
    <w:p w14:paraId="18B164EE" w14:textId="77777777" w:rsidR="0066722B" w:rsidRPr="006F463E" w:rsidRDefault="0066722B" w:rsidP="0066722B">
      <w:pPr>
        <w:pStyle w:val="SMcaption"/>
        <w:rPr>
          <w:szCs w:val="24"/>
        </w:rPr>
      </w:pPr>
    </w:p>
    <w:p w14:paraId="4B2A84C3" w14:textId="21D6579D" w:rsidR="00BB6341" w:rsidRPr="006F463E" w:rsidRDefault="00BB6341" w:rsidP="00BB6341">
      <w:pPr>
        <w:rPr>
          <w:szCs w:val="24"/>
        </w:rPr>
      </w:pPr>
      <w:r w:rsidRPr="006F463E">
        <w:rPr>
          <w:szCs w:val="24"/>
        </w:rPr>
        <w:t>Figure S2. Pierson correlation of fCO</w:t>
      </w:r>
      <w:r w:rsidRPr="006F463E">
        <w:rPr>
          <w:szCs w:val="24"/>
          <w:vertAlign w:val="subscript"/>
        </w:rPr>
        <w:t>2w</w:t>
      </w:r>
      <w:r w:rsidRPr="006F463E">
        <w:rPr>
          <w:szCs w:val="24"/>
        </w:rPr>
        <w:t xml:space="preserve"> in the monthly 1˚ by 1˚ using A-D and A, B data shown on 10˚ by 10˚ grid.</w:t>
      </w:r>
      <w:r w:rsidR="001A0BE7" w:rsidRPr="006F463E">
        <w:rPr>
          <w:szCs w:val="24"/>
        </w:rPr>
        <w:t xml:space="preserve"> Color scale with 0.1 gradations is provided at top of the map. </w:t>
      </w:r>
      <w:r w:rsidRPr="006F463E">
        <w:rPr>
          <w:szCs w:val="24"/>
        </w:rPr>
        <w:t xml:space="preserve"> Good correlations are seen over much of the open ocean, in part because much of the input data is the same. In coastal regions and areas with low data count correlations are less.</w:t>
      </w:r>
    </w:p>
    <w:p w14:paraId="1F923707" w14:textId="39340807" w:rsidR="00B968D7" w:rsidRPr="006F463E" w:rsidRDefault="00B968D7" w:rsidP="00BB6341">
      <w:pPr>
        <w:rPr>
          <w:b/>
          <w:i/>
          <w:szCs w:val="24"/>
        </w:rPr>
      </w:pPr>
    </w:p>
    <w:p w14:paraId="7F792F84" w14:textId="1B60EABC" w:rsidR="00B9440A" w:rsidRPr="006F463E" w:rsidRDefault="00B9440A" w:rsidP="00B9440A">
      <w:pPr>
        <w:pStyle w:val="SMcaption"/>
        <w:rPr>
          <w:b/>
          <w:i/>
          <w:szCs w:val="24"/>
        </w:rPr>
      </w:pPr>
    </w:p>
    <w:sectPr w:rsidR="00B9440A" w:rsidRPr="006F463E" w:rsidSect="00F125EE">
      <w:head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56926" w14:textId="77777777" w:rsidR="00B95B8F" w:rsidRDefault="00B95B8F">
      <w:r>
        <w:separator/>
      </w:r>
    </w:p>
  </w:endnote>
  <w:endnote w:type="continuationSeparator" w:id="0">
    <w:p w14:paraId="42EF045A" w14:textId="77777777" w:rsidR="00B95B8F" w:rsidRDefault="00B95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B9B65" w14:textId="77777777" w:rsidR="00B95B8F" w:rsidRDefault="00B95B8F">
      <w:r>
        <w:separator/>
      </w:r>
    </w:p>
  </w:footnote>
  <w:footnote w:type="continuationSeparator" w:id="0">
    <w:p w14:paraId="0B3C3B31" w14:textId="77777777" w:rsidR="00B95B8F" w:rsidRDefault="00B95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3A2FD8" w:rsidRPr="005001AC" w:rsidRDefault="003A2FD8" w:rsidP="005001AC">
    <w:pPr>
      <w:jc w:val="right"/>
      <w:rPr>
        <w:sz w:val="20"/>
      </w:rPr>
    </w:pPr>
  </w:p>
  <w:p w14:paraId="18F8F636" w14:textId="77777777" w:rsidR="003A2FD8" w:rsidRDefault="003A2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62367E"/>
    <w:multiLevelType w:val="hybridMultilevel"/>
    <w:tmpl w:val="1D20B8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D508A0"/>
    <w:multiLevelType w:val="multilevel"/>
    <w:tmpl w:val="02BA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410DB6"/>
    <w:multiLevelType w:val="hybridMultilevel"/>
    <w:tmpl w:val="77E4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81017E"/>
    <w:multiLevelType w:val="hybridMultilevel"/>
    <w:tmpl w:val="DAD6D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1399125">
    <w:abstractNumId w:val="9"/>
  </w:num>
  <w:num w:numId="2" w16cid:durableId="2033215806">
    <w:abstractNumId w:val="7"/>
  </w:num>
  <w:num w:numId="3" w16cid:durableId="1944335922">
    <w:abstractNumId w:val="6"/>
  </w:num>
  <w:num w:numId="4" w16cid:durableId="880215763">
    <w:abstractNumId w:val="5"/>
  </w:num>
  <w:num w:numId="5" w16cid:durableId="1304894234">
    <w:abstractNumId w:val="4"/>
  </w:num>
  <w:num w:numId="6" w16cid:durableId="994188857">
    <w:abstractNumId w:val="8"/>
  </w:num>
  <w:num w:numId="7" w16cid:durableId="1506046954">
    <w:abstractNumId w:val="3"/>
  </w:num>
  <w:num w:numId="8" w16cid:durableId="31543740">
    <w:abstractNumId w:val="2"/>
  </w:num>
  <w:num w:numId="9" w16cid:durableId="1501461087">
    <w:abstractNumId w:val="1"/>
  </w:num>
  <w:num w:numId="10" w16cid:durableId="909004882">
    <w:abstractNumId w:val="0"/>
  </w:num>
  <w:num w:numId="11" w16cid:durableId="920213288">
    <w:abstractNumId w:val="11"/>
  </w:num>
  <w:num w:numId="12" w16cid:durableId="438374261">
    <w:abstractNumId w:val="14"/>
  </w:num>
  <w:num w:numId="13" w16cid:durableId="1146118364">
    <w:abstractNumId w:val="10"/>
  </w:num>
  <w:num w:numId="14" w16cid:durableId="1984233882">
    <w:abstractNumId w:val="16"/>
  </w:num>
  <w:num w:numId="15" w16cid:durableId="1230462683">
    <w:abstractNumId w:val="15"/>
  </w:num>
  <w:num w:numId="16" w16cid:durableId="1196040558">
    <w:abstractNumId w:val="13"/>
  </w:num>
  <w:num w:numId="17" w16cid:durableId="14229462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3571"/>
    <w:rsid w:val="000607F4"/>
    <w:rsid w:val="00065EBD"/>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F82"/>
    <w:rsid w:val="001265FA"/>
    <w:rsid w:val="001278E3"/>
    <w:rsid w:val="00130743"/>
    <w:rsid w:val="00130B50"/>
    <w:rsid w:val="00144319"/>
    <w:rsid w:val="0016337A"/>
    <w:rsid w:val="00164269"/>
    <w:rsid w:val="0019185B"/>
    <w:rsid w:val="001966FD"/>
    <w:rsid w:val="00197826"/>
    <w:rsid w:val="001A0BE7"/>
    <w:rsid w:val="001A1BDE"/>
    <w:rsid w:val="001C738E"/>
    <w:rsid w:val="001C7B4E"/>
    <w:rsid w:val="001F0876"/>
    <w:rsid w:val="001F167C"/>
    <w:rsid w:val="001F5E91"/>
    <w:rsid w:val="0020183F"/>
    <w:rsid w:val="00202C40"/>
    <w:rsid w:val="002077B9"/>
    <w:rsid w:val="00221C70"/>
    <w:rsid w:val="002251AF"/>
    <w:rsid w:val="00227D86"/>
    <w:rsid w:val="00243B68"/>
    <w:rsid w:val="00262D72"/>
    <w:rsid w:val="002800B6"/>
    <w:rsid w:val="002B35D4"/>
    <w:rsid w:val="002C030F"/>
    <w:rsid w:val="002F3966"/>
    <w:rsid w:val="00320E2C"/>
    <w:rsid w:val="00331D75"/>
    <w:rsid w:val="00355362"/>
    <w:rsid w:val="00363E44"/>
    <w:rsid w:val="00395E86"/>
    <w:rsid w:val="003A2FD8"/>
    <w:rsid w:val="003B40E6"/>
    <w:rsid w:val="003C007A"/>
    <w:rsid w:val="003E1980"/>
    <w:rsid w:val="003F6E14"/>
    <w:rsid w:val="00405336"/>
    <w:rsid w:val="004568BC"/>
    <w:rsid w:val="004571D5"/>
    <w:rsid w:val="00462F1B"/>
    <w:rsid w:val="0046356B"/>
    <w:rsid w:val="00477182"/>
    <w:rsid w:val="004779CB"/>
    <w:rsid w:val="00481118"/>
    <w:rsid w:val="004B2481"/>
    <w:rsid w:val="004D2A8C"/>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E5F27"/>
    <w:rsid w:val="006F463E"/>
    <w:rsid w:val="006F602A"/>
    <w:rsid w:val="007108F5"/>
    <w:rsid w:val="00713AF2"/>
    <w:rsid w:val="00713E5B"/>
    <w:rsid w:val="007402FC"/>
    <w:rsid w:val="007411A1"/>
    <w:rsid w:val="007563F2"/>
    <w:rsid w:val="00764008"/>
    <w:rsid w:val="00795D4D"/>
    <w:rsid w:val="00807D35"/>
    <w:rsid w:val="008115D9"/>
    <w:rsid w:val="00825950"/>
    <w:rsid w:val="00885C9B"/>
    <w:rsid w:val="008927D0"/>
    <w:rsid w:val="00896FAB"/>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E637B"/>
    <w:rsid w:val="009F4BED"/>
    <w:rsid w:val="009F7D93"/>
    <w:rsid w:val="00A276DF"/>
    <w:rsid w:val="00A3084A"/>
    <w:rsid w:val="00A3403B"/>
    <w:rsid w:val="00A50033"/>
    <w:rsid w:val="00A51A12"/>
    <w:rsid w:val="00A627D4"/>
    <w:rsid w:val="00A74DA2"/>
    <w:rsid w:val="00A92733"/>
    <w:rsid w:val="00AA76F3"/>
    <w:rsid w:val="00AC7DA6"/>
    <w:rsid w:val="00AD499C"/>
    <w:rsid w:val="00AF37B0"/>
    <w:rsid w:val="00B30334"/>
    <w:rsid w:val="00B3147F"/>
    <w:rsid w:val="00B36869"/>
    <w:rsid w:val="00B43B31"/>
    <w:rsid w:val="00B47CFA"/>
    <w:rsid w:val="00B529C0"/>
    <w:rsid w:val="00B57F00"/>
    <w:rsid w:val="00B626CB"/>
    <w:rsid w:val="00B7560C"/>
    <w:rsid w:val="00B77E40"/>
    <w:rsid w:val="00B82C22"/>
    <w:rsid w:val="00B8417A"/>
    <w:rsid w:val="00B93DBA"/>
    <w:rsid w:val="00B9440A"/>
    <w:rsid w:val="00B952C1"/>
    <w:rsid w:val="00B95B8F"/>
    <w:rsid w:val="00B968D7"/>
    <w:rsid w:val="00BA3953"/>
    <w:rsid w:val="00BB2D2A"/>
    <w:rsid w:val="00BB6341"/>
    <w:rsid w:val="00BD58CF"/>
    <w:rsid w:val="00BF1BEB"/>
    <w:rsid w:val="00BF1BF9"/>
    <w:rsid w:val="00C04CC1"/>
    <w:rsid w:val="00C071FC"/>
    <w:rsid w:val="00C22C02"/>
    <w:rsid w:val="00C27F6F"/>
    <w:rsid w:val="00C30E83"/>
    <w:rsid w:val="00C50C6D"/>
    <w:rsid w:val="00C600D9"/>
    <w:rsid w:val="00C634D7"/>
    <w:rsid w:val="00C73E09"/>
    <w:rsid w:val="00CB5072"/>
    <w:rsid w:val="00CC1384"/>
    <w:rsid w:val="00CD3720"/>
    <w:rsid w:val="00CE6EAA"/>
    <w:rsid w:val="00CF1848"/>
    <w:rsid w:val="00CF5C2F"/>
    <w:rsid w:val="00D04BCF"/>
    <w:rsid w:val="00D10134"/>
    <w:rsid w:val="00D143D9"/>
    <w:rsid w:val="00D4372A"/>
    <w:rsid w:val="00D60BB0"/>
    <w:rsid w:val="00D65708"/>
    <w:rsid w:val="00D6579D"/>
    <w:rsid w:val="00D8159F"/>
    <w:rsid w:val="00DD1D04"/>
    <w:rsid w:val="00DD79D7"/>
    <w:rsid w:val="00E20431"/>
    <w:rsid w:val="00E257C8"/>
    <w:rsid w:val="00E40896"/>
    <w:rsid w:val="00E43D2D"/>
    <w:rsid w:val="00E449CB"/>
    <w:rsid w:val="00E52A8F"/>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203175800">
      <w:bodyDiv w:val="1"/>
      <w:marLeft w:val="0"/>
      <w:marRight w:val="0"/>
      <w:marTop w:val="0"/>
      <w:marBottom w:val="0"/>
      <w:divBdr>
        <w:top w:val="none" w:sz="0" w:space="0" w:color="auto"/>
        <w:left w:val="none" w:sz="0" w:space="0" w:color="auto"/>
        <w:bottom w:val="none" w:sz="0" w:space="0" w:color="auto"/>
        <w:right w:val="none" w:sz="0" w:space="0" w:color="auto"/>
      </w:divBdr>
    </w:div>
    <w:div w:id="546528266">
      <w:bodyDiv w:val="1"/>
      <w:marLeft w:val="0"/>
      <w:marRight w:val="0"/>
      <w:marTop w:val="0"/>
      <w:marBottom w:val="0"/>
      <w:divBdr>
        <w:top w:val="none" w:sz="0" w:space="0" w:color="auto"/>
        <w:left w:val="none" w:sz="0" w:space="0" w:color="auto"/>
        <w:bottom w:val="none" w:sz="0" w:space="0" w:color="auto"/>
        <w:right w:val="none" w:sz="0" w:space="0" w:color="auto"/>
      </w:divBdr>
    </w:div>
    <w:div w:id="873155705">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0139234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36816127">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8394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Rik Wanninkhof</cp:lastModifiedBy>
  <cp:revision>11</cp:revision>
  <cp:lastPrinted>2014-09-30T16:49:00Z</cp:lastPrinted>
  <dcterms:created xsi:type="dcterms:W3CDTF">2023-10-11T16:29:00Z</dcterms:created>
  <dcterms:modified xsi:type="dcterms:W3CDTF">2023-10-29T16:39:00Z</dcterms:modified>
</cp:coreProperties>
</file>