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La</w:t>
      </w:r>
      <w:r>
        <w:t xml:space="preserve"> </w:t>
      </w:r>
      <w:r>
        <w:t xml:space="preserve">Paired</w:t>
      </w:r>
      <w:r>
        <w:t xml:space="preserve"> </w:t>
      </w:r>
      <w:r>
        <w:t xml:space="preserve">Comparison</w:t>
      </w:r>
      <w:r>
        <w:t xml:space="preserve"> </w:t>
      </w:r>
      <w:r>
        <w:t xml:space="preserve">Technique</w:t>
      </w:r>
      <w:r>
        <w:t xml:space="preserve"> </w:t>
      </w:r>
      <w:r>
        <w:t xml:space="preserve">(PCT)</w:t>
      </w:r>
      <w:r>
        <w:t xml:space="preserve"> </w:t>
      </w:r>
      <w:r>
        <w:t xml:space="preserve">nella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di</w:t>
      </w:r>
      <w:r>
        <w:t xml:space="preserve"> </w:t>
      </w:r>
      <w:r>
        <w:t xml:space="preserve">Impatto</w:t>
      </w:r>
      <w:r>
        <w:t xml:space="preserve"> </w:t>
      </w:r>
      <w:r>
        <w:t xml:space="preserve">Ambientale</w:t>
      </w:r>
      <w:r>
        <w:t xml:space="preserve"> </w:t>
      </w:r>
      <w:r>
        <w:t xml:space="preserve">di</w:t>
      </w:r>
      <w:r>
        <w:t xml:space="preserve"> </w:t>
      </w:r>
      <w:r>
        <w:t xml:space="preserve">impianti</w:t>
      </w:r>
      <w:r>
        <w:t xml:space="preserve"> </w:t>
      </w:r>
      <w:r>
        <w:t xml:space="preserve">idroelettrici          </w:t>
      </w:r>
    </w:p>
    <w:p>
      <w:pPr>
        <w:pStyle w:val="Author"/>
      </w:pPr>
      <w:r>
        <w:t xml:space="preserve">Rosanna</w:t>
      </w:r>
      <w:r>
        <w:t xml:space="preserve"> </w:t>
      </w:r>
      <w:r>
        <w:t xml:space="preserve">Della</w:t>
      </w:r>
      <w:r>
        <w:t xml:space="preserve"> </w:t>
      </w:r>
      <w:r>
        <w:t xml:space="preserve">Porta</w:t>
      </w:r>
    </w:p>
    <w:p>
      <w:pPr>
        <w:pStyle w:val="Author"/>
      </w:pPr>
      <w:r>
        <w:t xml:space="preserve">Letizia</w:t>
      </w:r>
      <w:r>
        <w:t xml:space="preserve"> </w:t>
      </w:r>
      <w:r>
        <w:t xml:space="preserve">Leva</w:t>
      </w:r>
    </w:p>
    <w:p>
      <w:pPr>
        <w:pStyle w:val="Author"/>
      </w:pPr>
      <w:r>
        <w:t xml:space="preserve">Fabiola</w:t>
      </w:r>
      <w:r>
        <w:t xml:space="preserve"> </w:t>
      </w:r>
      <w:r>
        <w:t xml:space="preserve">Capozzoli</w:t>
      </w:r>
    </w:p>
    <w:p>
      <w:pPr>
        <w:pStyle w:val="Abstract"/>
      </w:pPr>
      <w:r>
        <w:t xml:space="preserve">Il</w:t>
      </w:r>
      <w:r>
        <w:t xml:space="preserve"> </w:t>
      </w:r>
      <w:r>
        <w:t xml:space="preserve">presente</w:t>
      </w:r>
      <w:r>
        <w:t xml:space="preserve"> </w:t>
      </w:r>
      <w:r>
        <w:t xml:space="preserve">lavoro</w:t>
      </w:r>
      <w:r>
        <w:t xml:space="preserve"> </w:t>
      </w:r>
      <w:r>
        <w:t xml:space="preserve">mostra</w:t>
      </w:r>
      <w:r>
        <w:t xml:space="preserve"> </w:t>
      </w:r>
      <w:r>
        <w:t xml:space="preserve">come</w:t>
      </w:r>
      <w:r>
        <w:t xml:space="preserve"> </w:t>
      </w:r>
      <w:r>
        <w:t xml:space="preserve">la</w:t>
      </w:r>
      <w:r>
        <w:t xml:space="preserve"> </w:t>
      </w:r>
      <w:r>
        <w:t xml:space="preserve">Paired</w:t>
      </w:r>
      <w:r>
        <w:t xml:space="preserve"> </w:t>
      </w:r>
      <w:r>
        <w:t xml:space="preserve">Comparison</w:t>
      </w:r>
      <w:r>
        <w:t xml:space="preserve"> </w:t>
      </w:r>
      <w:r>
        <w:t xml:space="preserve">Technique</w:t>
      </w:r>
      <w:r>
        <w:t xml:space="preserve"> </w:t>
      </w:r>
      <w:r>
        <w:t xml:space="preserve">(PCT)</w:t>
      </w:r>
      <w:r>
        <w:t xml:space="preserve"> </w:t>
      </w:r>
      <w:r>
        <w:t xml:space="preserve">si</w:t>
      </w:r>
      <w:r>
        <w:t xml:space="preserve"> </w:t>
      </w:r>
      <w:r>
        <w:t xml:space="preserve">configuri</w:t>
      </w:r>
      <w:r>
        <w:t xml:space="preserve"> </w:t>
      </w:r>
      <w:r>
        <w:t xml:space="preserve">come</w:t>
      </w:r>
      <w:r>
        <w:t xml:space="preserve"> </w:t>
      </w:r>
      <w:r>
        <w:t xml:space="preserve">un’utile</w:t>
      </w:r>
      <w:r>
        <w:t xml:space="preserve"> </w:t>
      </w:r>
      <w:r>
        <w:t xml:space="preserve">tecnica</w:t>
      </w:r>
      <w:r>
        <w:t xml:space="preserve"> </w:t>
      </w:r>
      <w:r>
        <w:t xml:space="preserve">di</w:t>
      </w:r>
      <w:r>
        <w:t xml:space="preserve"> </w:t>
      </w:r>
      <w:r>
        <w:t xml:space="preserve">ponderazione</w:t>
      </w:r>
      <w:r>
        <w:t xml:space="preserve"> </w:t>
      </w:r>
      <w:r>
        <w:t xml:space="preserve">matriciale</w:t>
      </w:r>
      <w:r>
        <w:t xml:space="preserve"> </w:t>
      </w:r>
      <w:r>
        <w:t xml:space="preserve">negli</w:t>
      </w:r>
      <w:r>
        <w:t xml:space="preserve"> </w:t>
      </w:r>
      <w:r>
        <w:t xml:space="preserve">studi</w:t>
      </w:r>
      <w:r>
        <w:t xml:space="preserve"> </w:t>
      </w:r>
      <w:r>
        <w:t xml:space="preserve">di</w:t>
      </w:r>
      <w:r>
        <w:t xml:space="preserve"> </w:t>
      </w:r>
      <w:r>
        <w:t xml:space="preserve">impatto</w:t>
      </w:r>
      <w:r>
        <w:t xml:space="preserve"> </w:t>
      </w:r>
      <w:r>
        <w:t xml:space="preserve">ambientale</w:t>
      </w:r>
      <w:r>
        <w:t xml:space="preserve"> </w:t>
      </w:r>
      <w:r>
        <w:t xml:space="preserve">per</w:t>
      </w:r>
      <w:r>
        <w:t xml:space="preserve"> </w:t>
      </w:r>
      <w:r>
        <w:t xml:space="preserve">l’analisi</w:t>
      </w:r>
      <w:r>
        <w:t xml:space="preserve"> </w:t>
      </w:r>
      <w:r>
        <w:t xml:space="preserve">delle</w:t>
      </w:r>
      <w:r>
        <w:t xml:space="preserve"> </w:t>
      </w:r>
      <w:r>
        <w:t xml:space="preserve">alternative.</w:t>
      </w:r>
      <w:r>
        <w:t xml:space="preserve"> </w:t>
      </w:r>
      <w:r>
        <w:t xml:space="preserve">Sono</w:t>
      </w:r>
      <w:r>
        <w:t xml:space="preserve"> </w:t>
      </w:r>
      <w:r>
        <w:t xml:space="preserve">presentati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relativo</w:t>
      </w:r>
      <w:r>
        <w:t xml:space="preserve"> </w:t>
      </w:r>
      <w:r>
        <w:t xml:space="preserve">all’implementazione</w:t>
      </w:r>
      <w:r>
        <w:t xml:space="preserve"> </w:t>
      </w:r>
      <w:r>
        <w:t xml:space="preserve">della</w:t>
      </w:r>
      <w:r>
        <w:t xml:space="preserve"> </w:t>
      </w:r>
      <w:r>
        <w:t xml:space="preserve">PCT</w:t>
      </w:r>
      <w:r>
        <w:t xml:space="preserve"> </w:t>
      </w:r>
      <w:r>
        <w:t xml:space="preserve">in</w:t>
      </w:r>
      <w:r>
        <w:t xml:space="preserve"> </w:t>
      </w:r>
      <w:r>
        <w:t xml:space="preserve">merito</w:t>
      </w:r>
      <w:r>
        <w:t xml:space="preserve"> </w:t>
      </w:r>
      <w:r>
        <w:t xml:space="preserve">alla</w:t>
      </w:r>
      <w:r>
        <w:t xml:space="preserve"> </w:t>
      </w:r>
      <w:r>
        <w:t xml:space="preserve">progettazione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impianto</w:t>
      </w:r>
      <w:r>
        <w:t xml:space="preserve"> </w:t>
      </w:r>
      <w:r>
        <w:t xml:space="preserve">idroelettrico,</w:t>
      </w:r>
      <w:r>
        <w:t xml:space="preserve"> </w:t>
      </w: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individuare</w:t>
      </w:r>
      <w:r>
        <w:t xml:space="preserve"> </w:t>
      </w:r>
      <w:r>
        <w:t xml:space="preserve">l’alternativa</w:t>
      </w:r>
      <w:r>
        <w:t xml:space="preserve"> </w:t>
      </w:r>
      <w:r>
        <w:t xml:space="preserve">progettuale</w:t>
      </w:r>
      <w:r>
        <w:t xml:space="preserve"> </w:t>
      </w:r>
      <w:r>
        <w:t xml:space="preserve">che</w:t>
      </w:r>
      <w:r>
        <w:t xml:space="preserve"> </w:t>
      </w:r>
      <w:r>
        <w:t xml:space="preserve">abbia</w:t>
      </w:r>
      <w:r>
        <w:t xml:space="preserve"> </w:t>
      </w:r>
      <w:r>
        <w:t xml:space="preserve">i</w:t>
      </w:r>
      <w:r>
        <w:t xml:space="preserve"> </w:t>
      </w:r>
      <w:r>
        <w:t xml:space="preserve">minori</w:t>
      </w:r>
      <w:r>
        <w:t xml:space="preserve"> </w:t>
      </w:r>
      <w:r>
        <w:t xml:space="preserve">impatti</w:t>
      </w:r>
      <w:r>
        <w:t xml:space="preserve"> </w:t>
      </w:r>
      <w:r>
        <w:t xml:space="preserve">potenziali</w:t>
      </w:r>
      <w:r>
        <w:t xml:space="preserve"> </w:t>
      </w:r>
      <w:r>
        <w:t xml:space="preserve">sull’ambiente.</w:t>
      </w:r>
      <w:r>
        <w:t xml:space="preserve"> </w:t>
      </w:r>
      <w:r>
        <w:t xml:space="preserve">In</w:t>
      </w:r>
      <w:r>
        <w:t xml:space="preserve"> </w:t>
      </w:r>
      <w:r>
        <w:t xml:space="preserve">particolare,</w:t>
      </w:r>
      <w:r>
        <w:t xml:space="preserve"> </w:t>
      </w:r>
      <w:r>
        <w:t xml:space="preserve">la</w:t>
      </w:r>
      <w:r>
        <w:t xml:space="preserve"> </w:t>
      </w:r>
      <w:r>
        <w:t xml:space="preserve">tecnica</w:t>
      </w:r>
      <w:r>
        <w:t xml:space="preserve"> </w:t>
      </w:r>
      <w:r>
        <w:t xml:space="preserve">utilizzata</w:t>
      </w:r>
      <w:r>
        <w:t xml:space="preserve"> </w:t>
      </w:r>
      <w:r>
        <w:t xml:space="preserve">ha</w:t>
      </w:r>
      <w:r>
        <w:t xml:space="preserve"> </w:t>
      </w:r>
      <w:r>
        <w:t xml:space="preserve">consentito</w:t>
      </w:r>
      <w:r>
        <w:t xml:space="preserve"> </w:t>
      </w:r>
      <w:r>
        <w:t xml:space="preserve">di</w:t>
      </w:r>
      <w:r>
        <w:t xml:space="preserve"> </w:t>
      </w:r>
      <w:r>
        <w:t xml:space="preserve">gestire</w:t>
      </w:r>
      <w:r>
        <w:t xml:space="preserve"> </w:t>
      </w:r>
      <w:r>
        <w:t xml:space="preserve">criteri</w:t>
      </w:r>
      <w:r>
        <w:t xml:space="preserve"> </w:t>
      </w:r>
      <w:r>
        <w:t xml:space="preserve">ed</w:t>
      </w:r>
      <w:r>
        <w:t xml:space="preserve"> </w:t>
      </w:r>
      <w:r>
        <w:t xml:space="preserve">alternative</w:t>
      </w:r>
      <w:r>
        <w:t xml:space="preserve"> </w:t>
      </w:r>
      <w:r>
        <w:t xml:space="preserve">in</w:t>
      </w:r>
      <w:r>
        <w:t xml:space="preserve"> </w:t>
      </w:r>
      <w:r>
        <w:t xml:space="preserve">maniera</w:t>
      </w:r>
      <w:r>
        <w:t xml:space="preserve"> </w:t>
      </w:r>
      <w:r>
        <w:t xml:space="preserve">obiettiva</w:t>
      </w:r>
      <w:r>
        <w:t xml:space="preserve"> </w:t>
      </w:r>
      <w:r>
        <w:t xml:space="preserve">ed</w:t>
      </w:r>
      <w:r>
        <w:t xml:space="preserve"> </w:t>
      </w:r>
      <w:r>
        <w:t xml:space="preserve">organica</w:t>
      </w:r>
      <w:r>
        <w:t xml:space="preserve"> </w:t>
      </w:r>
      <w:r>
        <w:t xml:space="preserve">attraverso</w:t>
      </w:r>
      <w:r>
        <w:t xml:space="preserve"> </w:t>
      </w:r>
      <w:r>
        <w:t xml:space="preserve">l’ordinamento</w:t>
      </w:r>
      <w:r>
        <w:t xml:space="preserve"> </w:t>
      </w:r>
      <w:r>
        <w:t xml:space="preserve">di</w:t>
      </w:r>
      <w:r>
        <w:t xml:space="preserve"> </w:t>
      </w:r>
      <w:r>
        <w:t xml:space="preserve">fattori</w:t>
      </w:r>
      <w:r>
        <w:t xml:space="preserve"> </w:t>
      </w:r>
      <w:r>
        <w:t xml:space="preserve">in</w:t>
      </w:r>
      <w:r>
        <w:t xml:space="preserve"> </w:t>
      </w:r>
      <w:r>
        <w:t xml:space="preserve">funzione</w:t>
      </w:r>
      <w:r>
        <w:t xml:space="preserve"> </w:t>
      </w:r>
      <w:r>
        <w:t xml:space="preserve">del</w:t>
      </w:r>
      <w:r>
        <w:t xml:space="preserve"> </w:t>
      </w:r>
      <w:r>
        <w:t xml:space="preserve">loro</w:t>
      </w:r>
      <w:r>
        <w:t xml:space="preserve"> </w:t>
      </w:r>
      <w:r>
        <w:t xml:space="preserve">peso</w:t>
      </w:r>
      <w:r>
        <w:t xml:space="preserve"> </w:t>
      </w:r>
      <w:r>
        <w:t xml:space="preserve">relativo.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conseguiti</w:t>
      </w:r>
      <w:r>
        <w:t xml:space="preserve"> </w:t>
      </w:r>
      <w:r>
        <w:t xml:space="preserve">dimostrano</w:t>
      </w:r>
      <w:r>
        <w:t xml:space="preserve"> </w:t>
      </w:r>
      <w:r>
        <w:t xml:space="preserve">come</w:t>
      </w:r>
      <w:r>
        <w:t xml:space="preserve"> </w:t>
      </w:r>
      <w:r>
        <w:t xml:space="preserve">la</w:t>
      </w:r>
      <w:r>
        <w:t xml:space="preserve"> </w:t>
      </w:r>
      <w:r>
        <w:t xml:space="preserve">PCT</w:t>
      </w:r>
      <w:r>
        <w:t xml:space="preserve"> </w:t>
      </w:r>
      <w:r>
        <w:t xml:space="preserve">sia</w:t>
      </w:r>
      <w:r>
        <w:t xml:space="preserve"> </w:t>
      </w:r>
      <w:r>
        <w:t xml:space="preserve">una</w:t>
      </w:r>
      <w:r>
        <w:t xml:space="preserve"> </w:t>
      </w:r>
      <w:r>
        <w:t xml:space="preserve">tecnica</w:t>
      </w:r>
      <w:r>
        <w:t xml:space="preserve"> </w:t>
      </w:r>
      <w:r>
        <w:t xml:space="preserve">di</w:t>
      </w:r>
      <w:r>
        <w:t xml:space="preserve"> </w:t>
      </w:r>
      <w:r>
        <w:t xml:space="preserve">facile</w:t>
      </w:r>
      <w:r>
        <w:t xml:space="preserve"> </w:t>
      </w:r>
      <w:r>
        <w:t xml:space="preserve">utilizzo,</w:t>
      </w:r>
      <w:r>
        <w:t xml:space="preserve"> </w:t>
      </w:r>
      <w:r>
        <w:t xml:space="preserve">ma</w:t>
      </w:r>
      <w:r>
        <w:t xml:space="preserve"> </w:t>
      </w:r>
      <w:r>
        <w:t xml:space="preserve">di</w:t>
      </w:r>
      <w:r>
        <w:t xml:space="preserve"> </w:t>
      </w:r>
      <w:r>
        <w:t xml:space="preserve">particolare</w:t>
      </w:r>
      <w:r>
        <w:t xml:space="preserve"> </w:t>
      </w:r>
      <w:r>
        <w:t xml:space="preserve">efficacia</w:t>
      </w:r>
      <w:r>
        <w:t xml:space="preserve"> </w:t>
      </w:r>
      <w:r>
        <w:t xml:space="preserve">per</w:t>
      </w:r>
      <w:r>
        <w:t xml:space="preserve"> </w:t>
      </w:r>
      <w:r>
        <w:t xml:space="preserve">supportare</w:t>
      </w:r>
      <w:r>
        <w:t xml:space="preserve"> </w:t>
      </w:r>
      <w:r>
        <w:t xml:space="preserve">decisioni</w:t>
      </w:r>
      <w:r>
        <w:t xml:space="preserve"> </w:t>
      </w:r>
      <w:r>
        <w:t xml:space="preserve">nella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d’Impatto</w:t>
      </w:r>
      <w:r>
        <w:t xml:space="preserve"> </w:t>
      </w:r>
      <w:r>
        <w:t xml:space="preserve">Ambientale.</w:t>
      </w:r>
    </w:p>
    <w:p>
      <w:pPr>
        <w:pStyle w:val="Heading1"/>
      </w:pPr>
      <w:bookmarkStart w:id="21" w:name="introduzione"/>
      <w:bookmarkEnd w:id="21"/>
      <w:r>
        <w:t xml:space="preserve">Introduzione</w:t>
      </w:r>
    </w:p>
    <w:p>
      <w:pPr>
        <w:pStyle w:val="FirstParagraph"/>
      </w:pPr>
      <w:r>
        <w:t xml:space="preserve">L’analisi delle alternative consiste nella procedura di valutazione</w:t>
      </w:r>
      <w:r>
        <w:t xml:space="preserve"> </w:t>
      </w:r>
      <w:r>
        <w:t xml:space="preserve">delle diverse scelte possibili o disponibili allo scopo di perseguire</w:t>
      </w:r>
      <w:r>
        <w:t xml:space="preserve"> </w:t>
      </w:r>
      <w:r>
        <w:t xml:space="preserve">uno o più obiettivi. La letteratura offre differenti approcci per la</w:t>
      </w:r>
      <w:r>
        <w:t xml:space="preserve"> </w:t>
      </w:r>
      <w:r>
        <w:t xml:space="preserve">risoluzione di problemi decisionali, tra cui le tecniche di Machine</w:t>
      </w:r>
      <w:r>
        <w:t xml:space="preserve"> </w:t>
      </w:r>
      <w:r>
        <w:t xml:space="preserve">Learning (ML) e multicriteriali (MCDA)</w:t>
      </w:r>
      <w:r>
        <w:t xml:space="preserve"> </w:t>
      </w:r>
      <w:r>
        <w:rPr>
          <w:vertAlign w:val="superscript"/>
        </w:rPr>
        <w:t xml:space="preserve">1</w:t>
      </w:r>
      <w:r>
        <w:t xml:space="preserve">. Nello</w:t>
      </w:r>
      <w:r>
        <w:t xml:space="preserve"> </w:t>
      </w:r>
      <w:r>
        <w:t xml:space="preserve">specifico, tra le metodologie di norma impiegate negli Studi di Impatto</w:t>
      </w:r>
      <w:r>
        <w:t xml:space="preserve"> </w:t>
      </w:r>
      <w:r>
        <w:t xml:space="preserve">Ambientale (S.I.A.) </w:t>
      </w:r>
      <w:r>
        <w:rPr>
          <w:vertAlign w:val="superscript"/>
        </w:rPr>
        <w:t xml:space="preserve">2</w:t>
      </w:r>
      <w:r>
        <w:t xml:space="preserve">, quelle che consistono</w:t>
      </w:r>
      <w:r>
        <w:t xml:space="preserve"> </w:t>
      </w:r>
      <w:r>
        <w:t xml:space="preserve">nell’attribuzione di pesi o magnitudo (valori d’importanza o incidenza)</w:t>
      </w:r>
      <w:r>
        <w:t xml:space="preserve"> </w:t>
      </w:r>
      <w:r>
        <w:t xml:space="preserve">sono le più numerose e, a parità di efficacia, semplici da usare. Tra le</w:t>
      </w:r>
      <w:r>
        <w:t xml:space="preserve"> </w:t>
      </w:r>
      <w:r>
        <w:t xml:space="preserve">tecniche maggiormente usate per la costruzione di una scala cardinale</w:t>
      </w:r>
      <w:r>
        <w:t xml:space="preserve"> </w:t>
      </w:r>
      <w:r>
        <w:t xml:space="preserve">(elenco gerarchico e pesato) di un gruppo di fattori ambientali vi è la</w:t>
      </w:r>
      <w:r>
        <w:t xml:space="preserve"> </w:t>
      </w:r>
      <w:r>
        <w:t xml:space="preserve">Paired Comparison Technique </w:t>
      </w:r>
      <w:r>
        <w:rPr>
          <w:vertAlign w:val="superscript"/>
        </w:rPr>
        <w:t xml:space="preserve">3</w:t>
      </w:r>
      <w:r>
        <w:t xml:space="preserve">. La PCT nota anche come</w:t>
      </w:r>
      <w:r>
        <w:t xml:space="preserve"> </w:t>
      </w:r>
      <w:r>
        <w:t xml:space="preserve">metodo di comparazione a coppie è una tecnica di ponderazione o analisi</w:t>
      </w:r>
      <w:r>
        <w:t xml:space="preserve"> </w:t>
      </w:r>
      <w:r>
        <w:t xml:space="preserve">delle alternative sviluppata negli anni ’60 come tecnica di supporto</w:t>
      </w:r>
      <w:r>
        <w:t xml:space="preserve"> </w:t>
      </w:r>
      <w:r>
        <w:t xml:space="preserve">alle decisioni. Tale metodo consente l’ordinamento di fattori o criteri</w:t>
      </w:r>
      <w:r>
        <w:t xml:space="preserve"> </w:t>
      </w:r>
      <w:r>
        <w:t xml:space="preserve">in funzione della loro importanza relativa, laddove i fattori possono</w:t>
      </w:r>
      <w:r>
        <w:t xml:space="preserve"> </w:t>
      </w:r>
      <w:r>
        <w:t xml:space="preserve">essere indicatori, componenti ambientali, tecnologie di mitigazione o</w:t>
      </w:r>
      <w:r>
        <w:t xml:space="preserve"> </w:t>
      </w:r>
      <w:r>
        <w:t xml:space="preserve">anche opzioni progettuali </w:t>
      </w:r>
      <w:r>
        <w:rPr>
          <w:vertAlign w:val="superscript"/>
        </w:rPr>
        <w:t xml:space="preserve">4</w:t>
      </w:r>
      <w:r>
        <w:t xml:space="preserve">. </w:t>
      </w:r>
    </w:p>
    <w:p>
      <w:pPr>
        <w:pStyle w:val="BodyText"/>
      </w:pPr>
      <w:r>
        <w:t xml:space="preserve">In ambito normativo, a livello nazionale, il D.P.C.M. 27/12/88 fornisce</w:t>
      </w:r>
      <w:r>
        <w:t xml:space="preserve"> </w:t>
      </w:r>
      <w:r>
        <w:t xml:space="preserve">una linea guida circa l’organizzazione dei contenuti dello Studio di</w:t>
      </w:r>
      <w:r>
        <w:t xml:space="preserve"> </w:t>
      </w:r>
      <w:r>
        <w:t xml:space="preserve">Impatto Ambientale (S.I.A.); nel quadro di riferimento progettuale</w:t>
      </w:r>
      <w:r>
        <w:t xml:space="preserve"> </w:t>
      </w:r>
      <w:r>
        <w:t xml:space="preserve">rientra l’analisi delle alternative, così come specificato</w:t>
      </w:r>
      <w:r>
        <w:t xml:space="preserve"> </w:t>
      </w:r>
      <w:r>
        <w:t xml:space="preserve">dall’</w:t>
      </w:r>
      <w:r>
        <w:rPr>
          <w:i/>
        </w:rPr>
        <w:t xml:space="preserve">art. 4</w:t>
      </w:r>
      <w:r>
        <w:t xml:space="preserve">, </w:t>
      </w:r>
      <w:r>
        <w:rPr>
          <w:i/>
        </w:rPr>
        <w:t xml:space="preserve">comma 4</w:t>
      </w:r>
      <w:r>
        <w:t xml:space="preserve">, dello stesso. Il D.lgs. 152/2006,</w:t>
      </w:r>
      <w:r>
        <w:t xml:space="preserve"> </w:t>
      </w:r>
      <w:r>
        <w:t xml:space="preserve">così come modificato dal D.lgs. 104/2017, alla </w:t>
      </w:r>
      <w:r>
        <w:rPr>
          <w:i/>
        </w:rPr>
        <w:t xml:space="preserve">Parte II, Titolo</w:t>
      </w:r>
      <w:r>
        <w:rPr>
          <w:i/>
        </w:rPr>
        <w:t xml:space="preserve"> </w:t>
      </w:r>
      <w:r>
        <w:rPr>
          <w:i/>
        </w:rPr>
        <w:t xml:space="preserve">III,</w:t>
      </w:r>
      <w:r>
        <w:t xml:space="preserve"> </w:t>
      </w:r>
      <w:r>
        <w:rPr>
          <w:i/>
        </w:rPr>
        <w:t xml:space="preserve">art. 22, comma 3</w:t>
      </w:r>
      <w:r>
        <w:t xml:space="preserve">, disciplina i contenuti dello S.I.A. e in</w:t>
      </w:r>
      <w:r>
        <w:t xml:space="preserve"> </w:t>
      </w:r>
      <w:r>
        <w:t xml:space="preserve">particolare rende obbligatoria l’analisi delle alternative; inoltre,</w:t>
      </w:r>
      <w:r>
        <w:t xml:space="preserve"> </w:t>
      </w:r>
      <w:r>
        <w:rPr>
          <w:i/>
        </w:rPr>
        <w:t xml:space="preserve">l’allegato 7, all’art. 2.</w:t>
      </w:r>
      <w:r>
        <w:t xml:space="preserve"> </w:t>
      </w:r>
      <w:r>
        <w:t xml:space="preserve">prevede una descrizione delle</w:t>
      </w:r>
      <w:r>
        <w:t xml:space="preserve"> </w:t>
      </w:r>
      <w:r>
        <w:t xml:space="preserve">alternative prese in esame e loro comparazione con il progetto</w:t>
      </w:r>
      <w:r>
        <w:t xml:space="preserve"> </w:t>
      </w:r>
      <w:r>
        <w:t xml:space="preserve">presentato. A livello Internazionale, la Direttiva 2014/52/UE,</w:t>
      </w:r>
      <w:r>
        <w:t xml:space="preserve"> </w:t>
      </w:r>
      <w:r>
        <w:t xml:space="preserve">all’</w:t>
      </w:r>
      <w:r>
        <w:rPr>
          <w:i/>
        </w:rPr>
        <w:t xml:space="preserve">art. 5, paragrafo 1</w:t>
      </w:r>
      <w:r>
        <w:t xml:space="preserve">, stabilisce che il proponente deve</w:t>
      </w:r>
      <w:r>
        <w:t xml:space="preserve"> </w:t>
      </w:r>
      <w:r>
        <w:t xml:space="preserve">includere almeno una descrizione delle alternative prese in esame dal</w:t>
      </w:r>
      <w:r>
        <w:t xml:space="preserve"> </w:t>
      </w:r>
      <w:r>
        <w:t xml:space="preserve">committente, con indicazione delle ragioni principali alla base</w:t>
      </w:r>
      <w:r>
        <w:t xml:space="preserve"> </w:t>
      </w:r>
      <w:r>
        <w:t xml:space="preserve">dell’opzione scelta, prendendo in considerazione gli effetti ambientali.</w:t>
      </w:r>
      <w:r>
        <w:t xml:space="preserve"> </w:t>
      </w:r>
      <w:r>
        <w:t xml:space="preserve">In particolare, la PCT è normalizzata dalla UNI EN ISO 5495:2016.</w:t>
      </w:r>
    </w:p>
    <w:p>
      <w:pPr>
        <w:pStyle w:val="Heading1"/>
      </w:pPr>
      <w:bookmarkStart w:id="22" w:name="caso-studio"/>
      <w:bookmarkEnd w:id="22"/>
      <w:r>
        <w:t xml:space="preserve">Caso studio</w:t>
      </w:r>
    </w:p>
    <w:p>
      <w:pPr>
        <w:pStyle w:val="FirstParagraph"/>
      </w:pPr>
      <w:r>
        <w:t xml:space="preserve">Nei prossimi decenni la richiesta globale di acqua ed energia aumenterà</w:t>
      </w:r>
      <w:r>
        <w:t xml:space="preserve"> </w:t>
      </w:r>
      <w:r>
        <w:t xml:space="preserve">in modo significativo </w:t>
      </w:r>
      <w:r>
        <w:rPr>
          <w:vertAlign w:val="superscript"/>
        </w:rPr>
        <w:t xml:space="preserve">5</w:t>
      </w:r>
      <w:r>
        <w:t xml:space="preserve">, pertanto lo sfruttamento</w:t>
      </w:r>
      <w:r>
        <w:t xml:space="preserve"> </w:t>
      </w:r>
      <w:r>
        <w:t xml:space="preserve">consapevole di tali risorse strategiche rappresenta una delle più grandi</w:t>
      </w:r>
      <w:r>
        <w:t xml:space="preserve"> </w:t>
      </w:r>
      <w:r>
        <w:t xml:space="preserve">sfide della società moderna </w:t>
      </w:r>
      <w:r>
        <w:rPr>
          <w:vertAlign w:val="superscript"/>
        </w:rPr>
        <w:t xml:space="preserve">6</w:t>
      </w:r>
      <w:r>
        <w:t xml:space="preserve">. Le fonti rinnovabili si</w:t>
      </w:r>
      <w:r>
        <w:t xml:space="preserve"> </w:t>
      </w:r>
      <w:r>
        <w:t xml:space="preserve">configurano come uno strumento fondamentale per i paesi industrializzati</w:t>
      </w:r>
      <w:r>
        <w:t xml:space="preserve"> </w:t>
      </w:r>
      <w:r>
        <w:t xml:space="preserve">nel raggiungere gli obiettivi di produzione di energia</w:t>
      </w:r>
      <w:r>
        <w:t xml:space="preserve"> </w:t>
      </w:r>
      <w:r>
        <w:t xml:space="preserve">“</w:t>
      </w:r>
      <w:r>
        <w:t xml:space="preserve">pulita</w:t>
      </w:r>
      <w:r>
        <w:t xml:space="preserve">”</w:t>
      </w:r>
      <w:r>
        <w:rPr>
          <w:vertAlign w:val="superscript"/>
        </w:rPr>
        <w:t xml:space="preserve">7</w:t>
      </w:r>
      <w:r>
        <w:t xml:space="preserve"> </w:t>
      </w:r>
      <w:r>
        <w:rPr>
          <w:vertAlign w:val="superscript"/>
        </w:rPr>
        <w:t xml:space="preserve">8</w:t>
      </w:r>
      <w:r>
        <w:t xml:space="preserve">. Tra le varie tecnologie</w:t>
      </w:r>
      <w:r>
        <w:t xml:space="preserve"> </w:t>
      </w:r>
      <w:r>
        <w:t xml:space="preserve">rinnovabili disponibili, gli impianti idroelettrici per la produzione di</w:t>
      </w:r>
      <w:r>
        <w:t xml:space="preserve"> </w:t>
      </w:r>
      <w:r>
        <w:t xml:space="preserve">energia rappresentano la soluzione in grado di garantire performance</w:t>
      </w:r>
      <w:r>
        <w:t xml:space="preserve"> </w:t>
      </w:r>
      <w:r>
        <w:t xml:space="preserve">migliori sia in termini di affidabilità che di riduzione delle pressioni</w:t>
      </w:r>
      <w:r>
        <w:t xml:space="preserve"> </w:t>
      </w:r>
      <w:r>
        <w:t xml:space="preserve">sull’ambiente</w:t>
      </w:r>
      <w:r>
        <w:t xml:space="preserve"> </w:t>
      </w:r>
      <w:r>
        <w:rPr>
          <w:vertAlign w:val="superscript"/>
        </w:rPr>
        <w:t xml:space="preserve">9</w:t>
      </w:r>
      <w:r>
        <w:t xml:space="preserve">. Il seguente caso studio vuole porre</w:t>
      </w:r>
      <w:r>
        <w:t xml:space="preserve"> </w:t>
      </w:r>
      <w:r>
        <w:t xml:space="preserve">l’attenzione sull’applicazione della PCT come tecnica di ponderazione</w:t>
      </w:r>
      <w:r>
        <w:t xml:space="preserve"> </w:t>
      </w:r>
      <w:r>
        <w:t xml:space="preserve">per l’analisi di tre alternative progettuali circa la realizzazione di</w:t>
      </w:r>
      <w:r>
        <w:t xml:space="preserve"> </w:t>
      </w:r>
      <w:r>
        <w:t xml:space="preserve">un impianto idroelettrico ad acqua fluente al fine di individuare la</w:t>
      </w:r>
      <w:r>
        <w:t xml:space="preserve"> </w:t>
      </w:r>
      <w:r>
        <w:t xml:space="preserve">configurazione avente minor impatto potenziale sull’ambiente.</w:t>
      </w:r>
    </w:p>
    <w:p>
      <w:pPr>
        <w:pStyle w:val="FigureWithCaption"/>
      </w:pPr>
      <w:r>
        <w:drawing>
          <wp:inline>
            <wp:extent cx="4177492" cy="2348692"/>
            <wp:effectExtent b="0" l="0" r="0" t="0"/>
            <wp:docPr descr="Impianto idroelettrico ad acqua fluente (fonte: unsplash.com) " title="" id="1" name="Picture"/>
            <a:graphic>
              <a:graphicData uri="http://schemas.openxmlformats.org/drawingml/2006/picture">
                <pic:pic>
                  <pic:nvPicPr>
                    <pic:cNvPr descr="figures/mark-konig-sDG-ZEiDA3Y-unsplash/mark-konig-sDG-ZEiDA3Y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348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idroelettrico ad acqua fluente (fonte: unsplash.com)</w:t>
      </w:r>
      <w:r>
        <w:t xml:space="preserve"> </w:t>
      </w:r>
    </w:p>
    <w:p>
      <w:pPr>
        <w:pStyle w:val="BodyText"/>
      </w:pPr>
      <w:r>
        <w:t xml:space="preserve">Le  alternative differiscono per tipologia di opera di presa e per</w:t>
      </w:r>
      <w:r>
        <w:t xml:space="preserve"> </w:t>
      </w:r>
      <w:r>
        <w:t xml:space="preserve">configurazione del canale di derivazione.  L’alternativa I presenta una</w:t>
      </w:r>
      <w:r>
        <w:t xml:space="preserve"> </w:t>
      </w:r>
      <w:r>
        <w:t xml:space="preserve">traversa fissa con opera di presa laterale a stramazzo mentre le</w:t>
      </w:r>
      <w:r>
        <w:t xml:space="preserve"> </w:t>
      </w:r>
      <w:r>
        <w:t xml:space="preserve">alternative II e III presentano entrambe una traversa di tipo a trappola</w:t>
      </w:r>
      <w:r>
        <w:t xml:space="preserve"> </w:t>
      </w:r>
      <w:r>
        <w:t xml:space="preserve">con gaveta. Inoltre, l’alternativa III presenta una condotta di</w:t>
      </w:r>
      <w:r>
        <w:t xml:space="preserve"> </w:t>
      </w:r>
      <w:r>
        <w:t xml:space="preserve">derivazione interrata mentre le alternative progettuali I e II sono</w:t>
      </w:r>
      <w:r>
        <w:t xml:space="preserve"> </w:t>
      </w:r>
      <w:r>
        <w:t xml:space="preserve">caratterizzate da un canale di derivazione in terra (Fig. 2).  </w:t>
      </w:r>
    </w:p>
    <w:p>
      <w:pPr>
        <w:pStyle w:val="FigureWithCaption"/>
      </w:pPr>
      <w:r>
        <w:drawing>
          <wp:inline>
            <wp:extent cx="1807392" cy="464845"/>
            <wp:effectExtent b="0" l="0" r="0" t="0"/>
            <wp:docPr descr="Alternative progettuali " title="" id="1" name="Picture"/>
            <a:graphic>
              <a:graphicData uri="http://schemas.openxmlformats.org/drawingml/2006/picture">
                <pic:pic>
                  <pic:nvPicPr>
                    <pic:cNvPr descr="figures/Tabella-alternative/Tabella-alternati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92" cy="464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Alternative progettuali</w:t>
      </w:r>
      <w:r>
        <w:t xml:space="preserve"> </w:t>
      </w:r>
    </w:p>
    <w:p>
      <w:pPr>
        <w:pStyle w:val="BodyText"/>
      </w:pPr>
      <w:r>
        <w:t xml:space="preserve">La definizione dei criteri di valutazione deriva dall’analisi dei</w:t>
      </w:r>
      <w:r>
        <w:t xml:space="preserve"> </w:t>
      </w:r>
      <w:r>
        <w:t xml:space="preserve">principali impatti potenziali generati dalla realizzazione delle opere</w:t>
      </w:r>
      <w:r>
        <w:t xml:space="preserve"> </w:t>
      </w:r>
      <w:r>
        <w:t xml:space="preserve">idrauliche prese in esame </w:t>
      </w:r>
      <w:r>
        <w:rPr>
          <w:vertAlign w:val="superscript"/>
        </w:rPr>
        <w:t xml:space="preserve">10</w:t>
      </w:r>
      <w:r>
        <w:t xml:space="preserve">. A tal fine, sono stati</w:t>
      </w:r>
      <w:r>
        <w:t xml:space="preserve"> </w:t>
      </w:r>
      <w:r>
        <w:t xml:space="preserve">considerati come criteri le seguenti componenti ambientali: acqua (A),</w:t>
      </w:r>
      <w:r>
        <w:t xml:space="preserve"> </w:t>
      </w:r>
      <w:r>
        <w:t xml:space="preserve">flora e vegetazione (FV), paesaggio (P), fauna in fase di cantiere (FC)</w:t>
      </w:r>
      <w:r>
        <w:t xml:space="preserve"> </w:t>
      </w:r>
      <w:r>
        <w:t xml:space="preserve">e fauna in fase di esercizio (FE).</w:t>
      </w:r>
    </w:p>
    <w:p>
      <w:pPr>
        <w:pStyle w:val="BodyText"/>
      </w:pPr>
      <w:r>
        <w:t xml:space="preserve">L’impatto sulla componente idrica (A) è associato alla tipologia di</w:t>
      </w:r>
      <w:r>
        <w:t xml:space="preserve"> </w:t>
      </w:r>
      <w:r>
        <w:t xml:space="preserve">opera di presa che si intende adottare poiché ad ognuna di esse può</w:t>
      </w:r>
      <w:r>
        <w:t xml:space="preserve"> </w:t>
      </w:r>
      <w:r>
        <w:t xml:space="preserve">corrispondere la necessità di progettare e realizzare differenti opere</w:t>
      </w:r>
      <w:r>
        <w:t xml:space="preserve"> </w:t>
      </w:r>
      <w:r>
        <w:t xml:space="preserve">di sistemazione idraulica, le quali potrebbero rappresentare</w:t>
      </w:r>
      <w:r>
        <w:t xml:space="preserve"> </w:t>
      </w:r>
      <w:r>
        <w:t xml:space="preserve">un’alterazione dello stato in cui versa il corso d’acqua. L’impatto</w:t>
      </w:r>
      <w:r>
        <w:t xml:space="preserve"> </w:t>
      </w:r>
      <w:r>
        <w:t xml:space="preserve">sulla componente flora e vegetazione (FV) è connesso alle operazioni in</w:t>
      </w:r>
      <w:r>
        <w:t xml:space="preserve"> </w:t>
      </w:r>
      <w:r>
        <w:t xml:space="preserve">fase di cantiere in relazione alla presenza di aree boscate o</w:t>
      </w:r>
      <w:r>
        <w:t xml:space="preserve"> </w:t>
      </w:r>
      <w:r>
        <w:t xml:space="preserve">vegetazione di interesse. L’ impatto sulla componente paesaggio (P) è</w:t>
      </w:r>
      <w:r>
        <w:t xml:space="preserve"> </w:t>
      </w:r>
      <w:r>
        <w:t xml:space="preserve">legato alle caratteristiche geometriche e tipologiche delle opere</w:t>
      </w:r>
      <w:r>
        <w:t xml:space="preserve"> </w:t>
      </w:r>
      <w:r>
        <w:t xml:space="preserve">idrauliche. L’ impatto su fauna in fase di cantiere (FC) è dovuto al</w:t>
      </w:r>
      <w:r>
        <w:t xml:space="preserve"> </w:t>
      </w:r>
      <w:r>
        <w:t xml:space="preserve">disturbo che le attività di cantiere possono indurre sul naturale</w:t>
      </w:r>
      <w:r>
        <w:t xml:space="preserve"> </w:t>
      </w:r>
      <w:r>
        <w:t xml:space="preserve">comportamento della fauna; in particolare, quando il cantiere permane</w:t>
      </w:r>
      <w:r>
        <w:t xml:space="preserve"> </w:t>
      </w:r>
      <w:r>
        <w:t xml:space="preserve">per un tempo abbastanza lungo può succedere che le specie animali non</w:t>
      </w:r>
      <w:r>
        <w:t xml:space="preserve"> </w:t>
      </w:r>
      <w:r>
        <w:t xml:space="preserve">riescano ad adattarsi al nuovo ambiente così che si generino migrazioni.</w:t>
      </w:r>
      <w:r>
        <w:t xml:space="preserve"> </w:t>
      </w:r>
      <w:r>
        <w:t xml:space="preserve">Per quanto riguarda l’impatto su fauna in fase di esercizio (FE),</w:t>
      </w:r>
      <w:r>
        <w:t xml:space="preserve"> </w:t>
      </w:r>
      <w:r>
        <w:t xml:space="preserve">particolare attenzione va posta alla ittiofauna, in quanto la tipologia</w:t>
      </w:r>
      <w:r>
        <w:t xml:space="preserve"> </w:t>
      </w:r>
      <w:r>
        <w:t xml:space="preserve">di opera di presa adottata può influire sul suo libero spostamento lungo</w:t>
      </w:r>
      <w:r>
        <w:t xml:space="preserve"> </w:t>
      </w:r>
      <w:r>
        <w:t xml:space="preserve">l’asta fluviale.</w:t>
      </w:r>
    </w:p>
    <w:p>
      <w:pPr>
        <w:pStyle w:val="BodyText"/>
      </w:pPr>
      <w:r>
        <w:t xml:space="preserve">Definiti i criteri di valutazione, si è proceduto alla stima dei loro</w:t>
      </w:r>
      <w:r>
        <w:t xml:space="preserve"> </w:t>
      </w:r>
      <w:r>
        <w:t xml:space="preserve">pesi relativi mediante la tecnica del confronto a coppie. Si è supposto</w:t>
      </w:r>
      <w:r>
        <w:t xml:space="preserve"> </w:t>
      </w:r>
      <w:r>
        <w:t xml:space="preserve">di realizzare l’opera in un punto non soggetto a particolari vincoli</w:t>
      </w:r>
      <w:r>
        <w:t xml:space="preserve"> </w:t>
      </w:r>
      <w:r>
        <w:t xml:space="preserve">paesaggistici e in cui non vi siano elementi di particolare pregio e</w:t>
      </w:r>
      <w:r>
        <w:t xml:space="preserve"> </w:t>
      </w:r>
      <w:r>
        <w:t xml:space="preserve">soggetti a tutela; inoltre, si è deciso di dare maggior peso agli</w:t>
      </w:r>
      <w:r>
        <w:t xml:space="preserve"> </w:t>
      </w:r>
      <w:r>
        <w:t xml:space="preserve">impatti permanenti su quelli temporanei. Pertanto si è considerato:  </w:t>
      </w:r>
    </w:p>
    <w:p>
      <w:pPr>
        <w:numPr>
          <w:numId w:val="1001"/>
          <w:ilvl w:val="0"/>
        </w:numPr>
      </w:pPr>
      <w:r>
        <w:t xml:space="preserve">il criterio A di maggior rilievo rispetto al criterio P ed FV mentre</w:t>
      </w:r>
      <w:r>
        <w:t xml:space="preserve"> </w:t>
      </w:r>
      <w:r>
        <w:t xml:space="preserve">meno importante rispetto ai criteri FC e FE;</w:t>
      </w:r>
    </w:p>
    <w:p>
      <w:pPr>
        <w:numPr>
          <w:numId w:val="1001"/>
          <w:ilvl w:val="0"/>
        </w:numPr>
      </w:pPr>
      <w:r>
        <w:t xml:space="preserve">il criterio FC meno importante rispetto al criterio FE;</w:t>
      </w:r>
    </w:p>
    <w:p>
      <w:pPr>
        <w:numPr>
          <w:numId w:val="1001"/>
          <w:ilvl w:val="0"/>
        </w:numPr>
      </w:pPr>
      <w:r>
        <w:t xml:space="preserve">il criterio P di maggior peso rispetto al criterio FV;</w:t>
      </w:r>
    </w:p>
    <w:p>
      <w:pPr>
        <w:numPr>
          <w:numId w:val="1001"/>
          <w:ilvl w:val="0"/>
        </w:numPr>
      </w:pPr>
      <w:r>
        <w:t xml:space="preserve">il criterio fittizio, per definizione, di minor peso rispetto a tutti</w:t>
      </w:r>
      <w:r>
        <w:t xml:space="preserve"> </w:t>
      </w:r>
      <w:r>
        <w:t xml:space="preserve">gli altri criteri.</w:t>
      </w:r>
    </w:p>
    <w:p>
      <w:pPr>
        <w:pStyle w:val="FirstParagraph"/>
      </w:pPr>
      <w:r>
        <w:t xml:space="preserve">La valutazione viene effettuata mediante la costruzione di una tabella,</w:t>
      </w:r>
      <w:r>
        <w:t xml:space="preserve"> </w:t>
      </w:r>
      <w:r>
        <w:t xml:space="preserve">i cui caporiga sono i diversi fattori o criteri ed in colonna si</w:t>
      </w:r>
      <w:r>
        <w:t xml:space="preserve"> </w:t>
      </w:r>
      <w:r>
        <w:t xml:space="preserve">riportano i valori che scaturiscono dal loro confronto a coppie;</w:t>
      </w:r>
      <w:r>
        <w:t xml:space="preserve"> </w:t>
      </w:r>
      <w:r>
        <w:t xml:space="preserve">pertanto, detto N il numero dei fattori considerati, il numero di coppie</w:t>
      </w:r>
      <w:r>
        <w:t xml:space="preserve"> </w:t>
      </w:r>
      <w:r>
        <w:t xml:space="preserve">necessario sarà pari a N(N-1)/2. Si utilizza una scala di giudizio a tre</w:t>
      </w:r>
      <w:r>
        <w:t xml:space="preserve"> </w:t>
      </w:r>
      <w:r>
        <w:t xml:space="preserve">livelli, dove viene attribuito il punteggio: 1 al fattore «vincente», 0</w:t>
      </w:r>
      <w:r>
        <w:t xml:space="preserve"> </w:t>
      </w:r>
      <w:r>
        <w:t xml:space="preserve">al fattore «perdente» e 0,5 in caso di uguale importanza. Al termine del</w:t>
      </w:r>
      <w:r>
        <w:t xml:space="preserve"> </w:t>
      </w:r>
      <w:r>
        <w:t xml:space="preserve">confronto sistematico tra tutte le coppie si è proceduto alla somma dei</w:t>
      </w:r>
      <w:r>
        <w:t xml:space="preserve"> </w:t>
      </w:r>
      <w:r>
        <w:t xml:space="preserve">punteggi conseguiti da ciascun fattore. Infine, si è ottenuto il vettore</w:t>
      </w:r>
      <w:r>
        <w:t xml:space="preserve"> </w:t>
      </w:r>
      <w:r>
        <w:t xml:space="preserve">di ponderazione dividendo ciascun punteggio per la somma totale dei</w:t>
      </w:r>
      <w:r>
        <w:t xml:space="preserve"> </w:t>
      </w:r>
      <w:r>
        <w:t xml:space="preserve">punteggi (Fig. 3).</w:t>
      </w:r>
    </w:p>
    <w:p>
      <w:pPr>
        <w:pStyle w:val="FigureWithCaption"/>
      </w:pPr>
      <w:r>
        <w:drawing>
          <wp:inline>
            <wp:extent cx="771600" cy="163200"/>
            <wp:effectExtent b="0" l="0" r="0" t="0"/>
            <wp:docPr descr="Matrice dei confronti a coppie dei criteri " title="" id="1" name="Picture"/>
            <a:graphic>
              <a:graphicData uri="http://schemas.openxmlformats.org/drawingml/2006/picture">
                <pic:pic>
                  <pic:nvPicPr>
                    <pic:cNvPr descr="figures/fig-3/fig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00" cy="16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dei confronti a coppie dei criteri</w:t>
      </w:r>
      <w:r>
        <w:t xml:space="preserve"> </w:t>
      </w:r>
    </w:p>
    <w:p>
      <w:pPr>
        <w:pStyle w:val="BodyText"/>
      </w:pPr>
      <w:r>
        <w:t xml:space="preserve">Dopodiché, si è proceduto al confronto a coppie tra le alternative</w:t>
      </w:r>
      <w:r>
        <w:t xml:space="preserve"> </w:t>
      </w:r>
      <w:r>
        <w:t xml:space="preserve">progettuali per ottenere la magnitudo relativa di una alternativa</w:t>
      </w:r>
      <w:r>
        <w:t xml:space="preserve"> </w:t>
      </w:r>
      <w:r>
        <w:t xml:space="preserve">rispetto alle altre in funzione di ciascun criterio. Per il criterio A,</w:t>
      </w:r>
      <w:r>
        <w:t xml:space="preserve"> </w:t>
      </w:r>
      <w:r>
        <w:t xml:space="preserve">l’alternativa I risulta più importante rispetto alle alternative II e</w:t>
      </w:r>
      <w:r>
        <w:t xml:space="preserve"> </w:t>
      </w:r>
      <w:r>
        <w:t xml:space="preserve">III perché in tal caso l’opera di presa a stramazzo laterale necessita</w:t>
      </w:r>
      <w:r>
        <w:t xml:space="preserve"> </w:t>
      </w:r>
      <w:r>
        <w:t xml:space="preserve">di opere di mitigazione del rischio idraulico; le alternative II e III</w:t>
      </w:r>
      <w:r>
        <w:t xml:space="preserve"> </w:t>
      </w:r>
      <w:r>
        <w:t xml:space="preserve">presentano medesima importanza perché sono caratterizzate dalla stessa</w:t>
      </w:r>
      <w:r>
        <w:t xml:space="preserve"> </w:t>
      </w:r>
      <w:r>
        <w:t xml:space="preserve">tipologia di opera di presa (Fig. 4).</w:t>
      </w:r>
    </w:p>
    <w:p>
      <w:pPr>
        <w:pStyle w:val="FigureWithCaption"/>
      </w:pPr>
      <w:r>
        <w:drawing>
          <wp:inline>
            <wp:extent cx="608400" cy="180000"/>
            <wp:effectExtent b="0" l="0" r="0" t="0"/>
            <wp:docPr descr="Matrice del confronto a coppie delle alternative rispetto al criterio A  " title="" id="1" name="Picture"/>
            <a:graphic>
              <a:graphicData uri="http://schemas.openxmlformats.org/drawingml/2006/picture">
                <pic:pic>
                  <pic:nvPicPr>
                    <pic:cNvPr descr="figures/fig-4/fig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del confronto a coppie delle alternative rispetto al criterio A </w:t>
      </w:r>
      <w:r>
        <w:t xml:space="preserve"> </w:t>
      </w:r>
    </w:p>
    <w:p>
      <w:pPr>
        <w:pStyle w:val="BodyText"/>
      </w:pPr>
      <w:r>
        <w:t xml:space="preserve">Per quanto riguarda il criterio FE, la configurazione della opera di</w:t>
      </w:r>
      <w:r>
        <w:t xml:space="preserve"> </w:t>
      </w:r>
      <w:r>
        <w:t xml:space="preserve">presa prevista nella alternativa I favorisce l’intercettazione di pesci</w:t>
      </w:r>
      <w:r>
        <w:t xml:space="preserve"> </w:t>
      </w:r>
      <w:r>
        <w:t xml:space="preserve">ed il loro indirizzamento all’interno del gruppo di produzione e dunque</w:t>
      </w:r>
      <w:r>
        <w:t xml:space="preserve"> </w:t>
      </w:r>
      <w:r>
        <w:t xml:space="preserve">comporta una maggiore probabilità di mortalità degli esemplari, a</w:t>
      </w:r>
      <w:r>
        <w:t xml:space="preserve"> </w:t>
      </w:r>
      <w:r>
        <w:t xml:space="preserve">differenza delle alternative II e III che, presentando entrambe l’opera</w:t>
      </w:r>
      <w:r>
        <w:t xml:space="preserve"> </w:t>
      </w:r>
      <w:r>
        <w:t xml:space="preserve">di presa del tipo traversa a trappola, hanno invece una limitata</w:t>
      </w:r>
      <w:r>
        <w:t xml:space="preserve"> </w:t>
      </w:r>
      <w:r>
        <w:t xml:space="preserve">possibilità di intercettazione della ittiofauna (Fig. 5).</w:t>
      </w:r>
    </w:p>
    <w:p>
      <w:pPr>
        <w:pStyle w:val="FigureWithCaption"/>
      </w:pPr>
      <w:r>
        <w:drawing>
          <wp:inline>
            <wp:extent cx="608400" cy="180000"/>
            <wp:effectExtent b="0" l="0" r="0" t="0"/>
            <wp:docPr descr="Matrice del confronto a coppie delle alternative rispetto al criterio FV  " title="" id="1" name="Picture"/>
            <a:graphic>
              <a:graphicData uri="http://schemas.openxmlformats.org/drawingml/2006/picture">
                <pic:pic>
                  <pic:nvPicPr>
                    <pic:cNvPr descr="figures/fig-5/fig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del confronto a coppie delle alternative rispetto al criterio</w:t>
      </w:r>
      <w:r>
        <w:t xml:space="preserve"> </w:t>
      </w:r>
      <w:r>
        <w:t xml:space="preserve">FV </w:t>
      </w:r>
      <w:r>
        <w:t xml:space="preserve"> </w:t>
      </w:r>
    </w:p>
    <w:p>
      <w:pPr>
        <w:pStyle w:val="BodyText"/>
      </w:pPr>
      <w:r>
        <w:t xml:space="preserve">Per il criterio FC, l’alternativa III, in cui si prevede la</w:t>
      </w:r>
      <w:r>
        <w:t xml:space="preserve"> </w:t>
      </w:r>
      <w:r>
        <w:t xml:space="preserve">realizzazione di una condotta di adduzione interrata, necessita di</w:t>
      </w:r>
      <w:r>
        <w:t xml:space="preserve"> </w:t>
      </w:r>
      <w:r>
        <w:t xml:space="preserve">un’area di cantiere e di tempi di realizzazione maggiori rispetto alle</w:t>
      </w:r>
      <w:r>
        <w:t xml:space="preserve"> </w:t>
      </w:r>
      <w:r>
        <w:t xml:space="preserve">alternative I e II e pertanto ha un’importanza maggiore (Fig. 6).  </w:t>
      </w:r>
    </w:p>
    <w:p>
      <w:pPr>
        <w:pStyle w:val="FigureWithCaption"/>
      </w:pPr>
      <w:r>
        <w:drawing>
          <wp:inline>
            <wp:extent cx="608400" cy="180000"/>
            <wp:effectExtent b="0" l="0" r="0" t="0"/>
            <wp:docPr descr="Matrice del confronto a coppie delle alternative rispetto al criterio FC    " title="" id="1" name="Picture"/>
            <a:graphic>
              <a:graphicData uri="http://schemas.openxmlformats.org/drawingml/2006/picture">
                <pic:pic>
                  <pic:nvPicPr>
                    <pic:cNvPr descr="figures/fig-6/fig-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del confronto a coppie delle alternative rispetto al criterio</w:t>
      </w:r>
      <w:r>
        <w:t xml:space="preserve"> </w:t>
      </w:r>
      <w:r>
        <w:t xml:space="preserve">FC   </w:t>
      </w:r>
      <w:r>
        <w:t xml:space="preserve"> </w:t>
      </w:r>
    </w:p>
    <w:p>
      <w:pPr>
        <w:pStyle w:val="BodyText"/>
      </w:pPr>
      <w:r>
        <w:t xml:space="preserve">Per il criterio FV, l’alternativa III, richiedendo un’area di cantiere</w:t>
      </w:r>
      <w:r>
        <w:t xml:space="preserve"> </w:t>
      </w:r>
      <w:r>
        <w:t xml:space="preserve">più grande, ha importanza maggiore, mentre l’alternativa I è più</w:t>
      </w:r>
      <w:r>
        <w:t xml:space="preserve"> </w:t>
      </w:r>
      <w:r>
        <w:t xml:space="preserve">importante dell’alternativa II perché la sua opera di presa occupa</w:t>
      </w:r>
      <w:r>
        <w:t xml:space="preserve"> </w:t>
      </w:r>
      <w:r>
        <w:t xml:space="preserve">un’area superiore (Fig. 7).</w:t>
      </w:r>
    </w:p>
    <w:p>
      <w:pPr>
        <w:pStyle w:val="FigureWithCaption"/>
      </w:pPr>
      <w:r>
        <w:drawing>
          <wp:inline>
            <wp:extent cx="608400" cy="180000"/>
            <wp:effectExtent b="0" l="0" r="0" t="0"/>
            <wp:docPr descr="Matrice del confronto a coppie delle alternative rispetto al criterio FE    " title="" id="1" name="Picture"/>
            <a:graphic>
              <a:graphicData uri="http://schemas.openxmlformats.org/drawingml/2006/picture">
                <pic:pic>
                  <pic:nvPicPr>
                    <pic:cNvPr descr="figures/fig-7/fig-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del confronto a coppie delle alternative rispetto al criterio</w:t>
      </w:r>
      <w:r>
        <w:t xml:space="preserve"> </w:t>
      </w:r>
      <w:r>
        <w:t xml:space="preserve">FE   </w:t>
      </w:r>
      <w:r>
        <w:t xml:space="preserve"> </w:t>
      </w:r>
    </w:p>
    <w:p>
      <w:pPr>
        <w:pStyle w:val="BodyText"/>
      </w:pPr>
      <w:r>
        <w:t xml:space="preserve">Infine, per quanto riguarda il criterio P, l’alternativa I ha un</w:t>
      </w:r>
      <w:r>
        <w:t xml:space="preserve"> </w:t>
      </w:r>
      <w:r>
        <w:t xml:space="preserve">ingombro visuale complessivo maggiore rispetto alle altre alternative e</w:t>
      </w:r>
      <w:r>
        <w:t xml:space="preserve"> </w:t>
      </w:r>
      <w:r>
        <w:t xml:space="preserve">quindi presenta un impatto maggiore (Fig. 8).  </w:t>
      </w:r>
    </w:p>
    <w:p>
      <w:pPr>
        <w:pStyle w:val="FigureWithCaption"/>
      </w:pPr>
      <w:r>
        <w:drawing>
          <wp:inline>
            <wp:extent cx="616800" cy="182400"/>
            <wp:effectExtent b="0" l="0" r="0" t="0"/>
            <wp:docPr descr="Matrice del confronto a coppie delle alternative rispetto al criterio P  " title="" id="1" name="Picture"/>
            <a:graphic>
              <a:graphicData uri="http://schemas.openxmlformats.org/drawingml/2006/picture">
                <pic:pic>
                  <pic:nvPicPr>
                    <pic:cNvPr descr="figures/fig-8/fig-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0" cy="18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del confronto a coppie delle alternative rispetto al criterio P </w:t>
      </w:r>
      <w:r>
        <w:t xml:space="preserve"> </w:t>
      </w:r>
    </w:p>
    <w:p>
      <w:pPr>
        <w:pStyle w:val="BodyText"/>
      </w:pPr>
      <w:r>
        <w:t xml:space="preserve">L’impatto complessivo di ciascuna alternativa è stato ottenuto come</w:t>
      </w:r>
      <w:r>
        <w:t xml:space="preserve"> </w:t>
      </w:r>
      <w:r>
        <w:t xml:space="preserve">somma dei prodotti della magnitudo rispetto al criterio i-esimo per il</w:t>
      </w:r>
      <w:r>
        <w:t xml:space="preserve"> </w:t>
      </w:r>
      <w:r>
        <w:t xml:space="preserve">peso relativo del criterio stesso. Dalla matrice dell’impatto</w:t>
      </w:r>
      <w:r>
        <w:t xml:space="preserve"> </w:t>
      </w:r>
      <w:r>
        <w:t xml:space="preserve">complessivo risulta che l’alternativa progettuale caratterizzata</w:t>
      </w:r>
      <w:r>
        <w:t xml:space="preserve"> </w:t>
      </w:r>
      <w:r>
        <w:t xml:space="preserve">dall’impatto potenziale minore è quella il cui valore è il più basso. Si</w:t>
      </w:r>
      <w:r>
        <w:t xml:space="preserve"> </w:t>
      </w:r>
      <w:r>
        <w:t xml:space="preserve">deduce, pertanto, che l’alternativa II, caratterizzata da un’opera di</w:t>
      </w:r>
      <w:r>
        <w:t xml:space="preserve"> </w:t>
      </w:r>
      <w:r>
        <w:t xml:space="preserve">presa con traversa a trappola e un canale di derivazione in terra, è la</w:t>
      </w:r>
      <w:r>
        <w:t xml:space="preserve"> </w:t>
      </w:r>
      <w:r>
        <w:t xml:space="preserve">soluzione vincente in quanto consente di ottenere impatti potenziali</w:t>
      </w:r>
      <w:r>
        <w:t xml:space="preserve"> </w:t>
      </w:r>
      <w:r>
        <w:t xml:space="preserve">minori in funzione dei criteri di selezione considerati (Fig.</w:t>
      </w:r>
      <w:r>
        <w:t xml:space="preserve"> </w:t>
      </w:r>
      <w:r>
        <w:t xml:space="preserve">9).</w:t>
      </w:r>
    </w:p>
    <w:p>
      <w:pPr>
        <w:pStyle w:val="FigureWithCaption"/>
      </w:pPr>
      <w:r>
        <w:drawing>
          <wp:inline>
            <wp:extent cx="687600" cy="163200"/>
            <wp:effectExtent b="0" l="0" r="0" t="0"/>
            <wp:docPr descr="Matrice dell’impatto potenziale complessivo  " title="" id="1" name="Picture"/>
            <a:graphic>
              <a:graphicData uri="http://schemas.openxmlformats.org/drawingml/2006/picture">
                <pic:pic>
                  <pic:nvPicPr>
                    <pic:cNvPr descr="figures/fig-9/fig-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16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Matrice dell’impatto potenziale complessivo </w:t>
      </w:r>
      <w:r>
        <w:t xml:space="preserve"> </w:t>
      </w:r>
    </w:p>
    <w:p>
      <w:pPr>
        <w:pStyle w:val="Heading1"/>
      </w:pPr>
      <w:bookmarkStart w:id="32" w:name="conclusioni"/>
      <w:bookmarkEnd w:id="32"/>
      <w:r>
        <w:t xml:space="preserve">Conclusioni</w:t>
      </w:r>
    </w:p>
    <w:p>
      <w:pPr>
        <w:pStyle w:val="FirstParagraph"/>
      </w:pPr>
      <w:r>
        <w:t xml:space="preserve">In definitiva, il presente lavoro, attraverso il caso studio analizzato,</w:t>
      </w:r>
      <w:r>
        <w:t xml:space="preserve"> </w:t>
      </w:r>
      <w:r>
        <w:t xml:space="preserve">ha mostrato l’applicazione della PCT in quanto tecnica di ponderazione e</w:t>
      </w:r>
      <w:r>
        <w:t xml:space="preserve"> </w:t>
      </w:r>
      <w:r>
        <w:t xml:space="preserve">di analisi delle alternative. L’implementazione di tale tecnica ha</w:t>
      </w:r>
      <w:r>
        <w:t xml:space="preserve"> </w:t>
      </w:r>
      <w:r>
        <w:t xml:space="preserve">permesso di valutare, in via preliminare, i possibili impatti derivanti</w:t>
      </w:r>
      <w:r>
        <w:t xml:space="preserve"> </w:t>
      </w:r>
      <w:r>
        <w:t xml:space="preserve">dalla realizzazione di un impianto idroelettrico, al fine di scegliere</w:t>
      </w:r>
      <w:r>
        <w:t xml:space="preserve"> </w:t>
      </w:r>
      <w:r>
        <w:t xml:space="preserve">la soluzione progettuale più sostenibile sulla quale proseguire la</w:t>
      </w:r>
      <w:r>
        <w:t xml:space="preserve"> </w:t>
      </w:r>
      <w:r>
        <w:t xml:space="preserve">valutazione di impatto ambientale. La PCT si è confermata, così, un</w:t>
      </w:r>
      <w:r>
        <w:t xml:space="preserve"> </w:t>
      </w:r>
      <w:r>
        <w:t xml:space="preserve">utile strumento di supporto alle decisioni.</w:t>
      </w:r>
    </w:p>
    <w:p>
      <w:pPr>
        <w:pStyle w:val="Heading1"/>
      </w:pPr>
      <w:bookmarkStart w:id="33" w:name="references"/>
      <w:bookmarkEnd w:id="33"/>
      <w:r>
        <w:t xml:space="preserve">References</w:t>
      </w:r>
    </w:p>
    <w:p>
      <w:pPr>
        <w:pStyle w:val="FirstParagraph"/>
      </w:pPr>
      <w:r>
        <w:t xml:space="preserve">1.Nestic</w:t>
      </w:r>
      <w:r>
        <w:t xml:space="preserve">ò</w:t>
      </w:r>
      <w:r>
        <w:t xml:space="preserve">, A., Elia, C. &amp; Naddeo, V.</w:t>
      </w:r>
      <w:r>
        <w:t xml:space="preserve"> </w:t>
      </w:r>
      <w:r>
        <w:t xml:space="preserve">Sustainability of urban regeneration projects: Novel selection model based on analytic network process and zero-one goal programming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99</w:t>
      </w:r>
      <w:r>
        <w:t xml:space="preserve">, 104831 (2020).</w:t>
      </w:r>
    </w:p>
    <w:p>
      <w:pPr>
        <w:pStyle w:val="BodyText"/>
      </w:pPr>
      <w:r>
        <w:t xml:space="preserve">2.Naddeo, V., Belgiorno, V., Zarra, T. &amp; Scannapieco, D.</w:t>
      </w:r>
      <w:r>
        <w:t xml:space="preserve"> </w:t>
      </w:r>
      <w:r>
        <w:t xml:space="preserve">Dynamic and embedded evaluation procedure for strategic environmental assessment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31</w:t>
      </w:r>
      <w:r>
        <w:t xml:space="preserve">, 605–612 (2013).</w:t>
      </w:r>
    </w:p>
    <w:p>
      <w:pPr>
        <w:pStyle w:val="BodyText"/>
      </w:pPr>
      <w:r>
        <w:t xml:space="preserve">3.A.Russi, F.Palmieri, D.Borchia &amp; E.Crescini.</w:t>
      </w:r>
      <w:r>
        <w:t xml:space="preserve"> </w:t>
      </w:r>
      <w:r>
        <w:t xml:space="preserve">La Paired Comparison Technique nella VIA delle piste da sci</w:t>
      </w:r>
      <w:r>
        <w:t xml:space="preserve">. in</w:t>
      </w:r>
      <w:r>
        <w:t xml:space="preserve"> </w:t>
      </w:r>
      <w:r>
        <w:rPr>
          <w:i/>
        </w:rPr>
        <w:t xml:space="preserve">Rivista di scienze ambientali</w:t>
      </w:r>
      <w:r>
        <w:t xml:space="preserve"> </w:t>
      </w:r>
      <w:r>
        <w:t xml:space="preserve">vol. 1, (Researchgate, 2000).</w:t>
      </w:r>
    </w:p>
    <w:p>
      <w:pPr>
        <w:pStyle w:val="BodyText"/>
      </w:pPr>
      <w:r>
        <w:t xml:space="preserve">4.V.Belgiorno, V.Naddeo &amp; T.Zarra.</w:t>
      </w:r>
      <w:r>
        <w:t xml:space="preserve"> </w:t>
      </w:r>
      <w:r>
        <w:rPr>
          <w:i/>
        </w:rPr>
        <w:t xml:space="preserve">Tecniche per la valutazione di impatto ambientale</w:t>
      </w:r>
      <w:r>
        <w:t xml:space="preserve">. (ASTER onlus Editore, 2011).</w:t>
      </w:r>
    </w:p>
    <w:p>
      <w:pPr>
        <w:pStyle w:val="BodyText"/>
      </w:pPr>
      <w:r>
        <w:t xml:space="preserve">5.Hasan, S. W., Liu, H., Naddeo, V., Puig, S. &amp; Yip, N. Y.</w:t>
      </w:r>
      <w:r>
        <w:t xml:space="preserve"> </w:t>
      </w:r>
      <w:r>
        <w:t xml:space="preserve">Editorial: Environmental technologies for the sustainable development of the water and energy sectors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81</w:t>
      </w:r>
      <w:r>
        <w:t xml:space="preserve">, iii–iv (2020).</w:t>
      </w:r>
    </w:p>
    <w:p>
      <w:pPr>
        <w:pStyle w:val="BodyText"/>
      </w:pPr>
      <w:r>
        <w:t xml:space="preserve">6.Naddeo, V. &amp; Korshin, G.</w:t>
      </w:r>
      <w:r>
        <w:t xml:space="preserve"> </w:t>
      </w:r>
      <w:r>
        <w:t xml:space="preserve">Water energy and waste: The great European deal for the environment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764</w:t>
      </w:r>
      <w:r>
        <w:t xml:space="preserve">, 142911 (2021).</w:t>
      </w:r>
    </w:p>
    <w:p>
      <w:pPr>
        <w:pStyle w:val="BodyText"/>
      </w:pPr>
      <w:r>
        <w:t xml:space="preserve">7.Murena, A.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WaterEnergy Nexus: Evaluation of the Environmental Impact on the National and International Scenarios</w:t>
      </w:r>
      <w:r>
        <w:t xml:space="preserve">. in</w:t>
      </w:r>
      <w:r>
        <w:t xml:space="preserve"> </w:t>
      </w:r>
      <w:r>
        <w:rPr>
          <w:i/>
        </w:rPr>
        <w:t xml:space="preserve">Frontiers in Water-Energy-NexusNature-Based Solutions Advanced Technologies and Best Practices for Environmental Sustainability</w:t>
      </w:r>
      <w:r>
        <w:t xml:space="preserve"> </w:t>
      </w:r>
      <w:r>
        <w:t xml:space="preserve">33–35 (Springer International Publishing, 2019). doi:10.1007/978-3-030-13068-8_8.</w:t>
      </w:r>
    </w:p>
    <w:p>
      <w:pPr>
        <w:pStyle w:val="BodyText"/>
      </w:pPr>
      <w:r>
        <w:t xml:space="preserve">8.Naddeo, V., Balakrishnan, M. &amp; Choo, K.-H.</w:t>
      </w:r>
      <w:r>
        <w:t xml:space="preserve"> </w:t>
      </w:r>
      <w:r>
        <w:rPr>
          <w:i/>
        </w:rPr>
        <w:t xml:space="preserve">Frontiers in Water-Energy-NexusNature-Based Solutions Advanced Technologies and Best Practices for Environmental Sustainability</w:t>
      </w:r>
      <w:r>
        <w:t xml:space="preserve">. (Springer International Publishing, 2020). doi:10.1007/978-3-030-13068-8.</w:t>
      </w:r>
    </w:p>
    <w:p>
      <w:pPr>
        <w:pStyle w:val="BodyText"/>
      </w:pPr>
      <w:r>
        <w:t xml:space="preserve">9.Scannapieco, D., Naddeo, V. &amp; Belgiorno, V.</w:t>
      </w:r>
      <w:r>
        <w:t xml:space="preserve"> </w:t>
      </w:r>
      <w:r>
        <w:t xml:space="preserve">Sustainable power plants: A support tool for the analysis of alternatives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36</w:t>
      </w:r>
      <w:r>
        <w:t xml:space="preserve">, 478–484 (2014).</w:t>
      </w:r>
    </w:p>
    <w:p>
      <w:pPr>
        <w:pStyle w:val="BodyText"/>
      </w:pPr>
      <w:r>
        <w:t xml:space="preserve">10.F.Boano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Proposte di linee guida per la valutazione degli impatti ambientali dei piccoli impianti idroelettrici</w:t>
      </w:r>
      <w:r>
        <w:t xml:space="preserve">. in (Reserarchgate, 2012).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5a828b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22598069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Paired Comparison Technique (PCT) nella Valutazione di Impatto Ambientale di impianti idroelettrici          </dc:title>
  <dc:creator>Rosanna Della Porta; Letizia Leva; Fabiola Capozzoli</dc:creator>
  <dcterms:created xsi:type="dcterms:W3CDTF">2021-02-27T18:13:37Z</dcterms:created>
  <dcterms:modified xsi:type="dcterms:W3CDTF">2021-02-27T18:13:37Z</dcterms:modified>
</cp:coreProperties>
</file>