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Development</w:t>
      </w:r>
      <w:r>
        <w:t xml:space="preserve"> </w:t>
      </w:r>
      <w:r>
        <w:t xml:space="preserve">of</w:t>
      </w:r>
      <w:r>
        <w:t xml:space="preserve"> </w:t>
      </w:r>
      <w:r>
        <w:t xml:space="preserve">research</w:t>
      </w:r>
      <w:r>
        <w:t xml:space="preserve"> </w:t>
      </w:r>
      <w:r>
        <w:t xml:space="preserve">on</w:t>
      </w:r>
      <w:r>
        <w:t xml:space="preserve"> </w:t>
      </w:r>
      <w:r>
        <w:t xml:space="preserve">COVID-19</w:t>
      </w:r>
      <w:r>
        <w:t xml:space="preserve"> </w:t>
      </w:r>
      <w:r>
        <w:t xml:space="preserve">by</w:t>
      </w:r>
      <w:r>
        <w:t xml:space="preserve"> </w:t>
      </w:r>
      <w:r>
        <w:t xml:space="preserve">the</w:t>
      </w:r>
      <w:r>
        <w:t xml:space="preserve"> </w:t>
      </w:r>
      <w:r>
        <w:t xml:space="preserve">World</w:t>
      </w:r>
      <w:r>
        <w:t xml:space="preserve"> </w:t>
      </w:r>
      <w:r>
        <w:t xml:space="preserve">Scientific</w:t>
      </w:r>
      <w:r>
        <w:t xml:space="preserve"> </w:t>
      </w:r>
      <w:r>
        <w:t xml:space="preserve">Community</w:t>
      </w:r>
    </w:p>
    <w:p>
      <w:pPr>
        <w:pStyle w:val="Author"/>
      </w:pPr>
      <w:r>
        <w:t xml:space="preserve">Daniel</w:t>
      </w:r>
      <w:r>
        <w:t xml:space="preserve"> </w:t>
      </w:r>
      <w:r>
        <w:t xml:space="preserve">Tinôco</w:t>
      </w:r>
    </w:p>
    <w:p>
      <w:pPr>
        <w:pStyle w:val="Author"/>
      </w:pPr>
      <w:r>
        <w:t xml:space="preserve">Suzana</w:t>
      </w:r>
      <w:r>
        <w:t xml:space="preserve"> </w:t>
      </w:r>
      <w:r>
        <w:t xml:space="preserve">Borschiver</w:t>
      </w:r>
    </w:p>
    <w:p>
      <w:pPr>
        <w:pStyle w:val="Abstract"/>
      </w:pPr>
      <w:r>
        <w:t xml:space="preserve">Several</w:t>
      </w:r>
      <w:r>
        <w:t xml:space="preserve"> </w:t>
      </w:r>
      <w:r>
        <w:t xml:space="preserve">studies</w:t>
      </w:r>
      <w:r>
        <w:t xml:space="preserve"> </w:t>
      </w:r>
      <w:r>
        <w:t xml:space="preserve">have</w:t>
      </w:r>
      <w:r>
        <w:t xml:space="preserve"> </w:t>
      </w:r>
      <w:r>
        <w:t xml:space="preserve">been</w:t>
      </w:r>
      <w:r>
        <w:t xml:space="preserve"> </w:t>
      </w:r>
      <w:r>
        <w:t xml:space="preserve">carried</w:t>
      </w:r>
      <w:r>
        <w:t xml:space="preserve"> </w:t>
      </w:r>
      <w:r>
        <w:t xml:space="preserve">out</w:t>
      </w:r>
      <w:r>
        <w:t xml:space="preserve"> </w:t>
      </w:r>
      <w:r>
        <w:t xml:space="preserve">in</w:t>
      </w:r>
      <w:r>
        <w:t xml:space="preserve"> </w:t>
      </w:r>
      <w:r>
        <w:t xml:space="preserve">recent</w:t>
      </w:r>
      <w:r>
        <w:t xml:space="preserve"> </w:t>
      </w:r>
      <w:r>
        <w:t xml:space="preserve">months</w:t>
      </w:r>
      <w:r>
        <w:t xml:space="preserve"> </w:t>
      </w:r>
      <w:r>
        <w:t xml:space="preserve">by</w:t>
      </w:r>
      <w:r>
        <w:t xml:space="preserve"> </w:t>
      </w:r>
      <w:r>
        <w:t xml:space="preserve">the</w:t>
      </w:r>
      <w:r>
        <w:t xml:space="preserve"> </w:t>
      </w:r>
      <w:r>
        <w:t xml:space="preserve">World</w:t>
      </w:r>
      <w:r>
        <w:t xml:space="preserve"> </w:t>
      </w:r>
      <w:r>
        <w:t xml:space="preserve">Scientific</w:t>
      </w:r>
      <w:r>
        <w:t xml:space="preserve"> </w:t>
      </w:r>
      <w:r>
        <w:t xml:space="preserve">Community</w:t>
      </w:r>
      <w:r>
        <w:t xml:space="preserve"> </w:t>
      </w:r>
      <w:r>
        <w:t xml:space="preserve">on</w:t>
      </w:r>
      <w:r>
        <w:t xml:space="preserve"> </w:t>
      </w:r>
      <w:r>
        <w:t xml:space="preserve">the</w:t>
      </w:r>
      <w:r>
        <w:t xml:space="preserve"> </w:t>
      </w:r>
      <w:r>
        <w:t xml:space="preserve">novel</w:t>
      </w:r>
      <w:r>
        <w:t xml:space="preserve"> </w:t>
      </w:r>
      <w:r>
        <w:t xml:space="preserve">coronavirus,</w:t>
      </w:r>
      <w:r>
        <w:t xml:space="preserve"> </w:t>
      </w:r>
      <w:r>
        <w:t xml:space="preserve">responsible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current</w:t>
      </w:r>
      <w:r>
        <w:t xml:space="preserve"> </w:t>
      </w:r>
      <w:r>
        <w:t xml:space="preserve">COVID-19</w:t>
      </w:r>
      <w:r>
        <w:t xml:space="preserve"> </w:t>
      </w:r>
      <w:r>
        <w:t xml:space="preserve">pandemic.</w:t>
      </w:r>
      <w:r>
        <w:t xml:space="preserve"> </w:t>
      </w:r>
      <w:r>
        <w:t xml:space="preserve">The</w:t>
      </w:r>
      <w:r>
        <w:t xml:space="preserve"> </w:t>
      </w:r>
      <w:r>
        <w:t xml:space="preserve">most</w:t>
      </w:r>
      <w:r>
        <w:t xml:space="preserve"> </w:t>
      </w:r>
      <w:r>
        <w:t xml:space="preserve">relevant</w:t>
      </w:r>
      <w:r>
        <w:t xml:space="preserve"> </w:t>
      </w:r>
      <w:r>
        <w:t xml:space="preserve">works</w:t>
      </w:r>
      <w:r>
        <w:t xml:space="preserve"> </w:t>
      </w:r>
      <w:r>
        <w:t xml:space="preserve">on</w:t>
      </w:r>
      <w:r>
        <w:t xml:space="preserve"> </w:t>
      </w:r>
      <w:r>
        <w:t xml:space="preserve">the</w:t>
      </w:r>
      <w:r>
        <w:t xml:space="preserve"> </w:t>
      </w:r>
      <w:r>
        <w:t xml:space="preserve">main</w:t>
      </w:r>
      <w:r>
        <w:t xml:space="preserve"> </w:t>
      </w:r>
      <w:r>
        <w:t xml:space="preserve">trends</w:t>
      </w:r>
      <w:r>
        <w:t xml:space="preserve"> </w:t>
      </w:r>
      <w:r>
        <w:t xml:space="preserve">were</w:t>
      </w:r>
      <w:r>
        <w:t xml:space="preserve"> </w:t>
      </w:r>
      <w:r>
        <w:t xml:space="preserve">related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disease,</w:t>
      </w:r>
      <w:r>
        <w:t xml:space="preserve"> </w:t>
      </w:r>
      <w:r>
        <w:t xml:space="preserve">treatment/prevention,</w:t>
      </w:r>
      <w:r>
        <w:t xml:space="preserve"> </w:t>
      </w:r>
      <w:r>
        <w:t xml:space="preserve">and</w:t>
      </w:r>
      <w:r>
        <w:t xml:space="preserve"> </w:t>
      </w:r>
      <w:r>
        <w:t xml:space="preserve">management</w:t>
      </w:r>
      <w:r>
        <w:t xml:space="preserve"> </w:t>
      </w:r>
      <w:r>
        <w:t xml:space="preserve">of</w:t>
      </w:r>
      <w:r>
        <w:t xml:space="preserve"> </w:t>
      </w:r>
      <w:r>
        <w:t xml:space="preserve">COVID-19.</w:t>
      </w:r>
      <w:r>
        <w:t xml:space="preserve"> </w:t>
      </w:r>
      <w:r>
        <w:t xml:space="preserve">Most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articles</w:t>
      </w:r>
      <w:r>
        <w:t xml:space="preserve"> </w:t>
      </w:r>
      <w:r>
        <w:t xml:space="preserve">focused</w:t>
      </w:r>
      <w:r>
        <w:t xml:space="preserve"> </w:t>
      </w:r>
      <w:r>
        <w:t xml:space="preserve">on</w:t>
      </w:r>
      <w:r>
        <w:t xml:space="preserve"> </w:t>
      </w:r>
      <w:r>
        <w:t xml:space="preserve">understanding</w:t>
      </w:r>
      <w:r>
        <w:t xml:space="preserve"> </w:t>
      </w:r>
      <w:r>
        <w:t xml:space="preserve">the</w:t>
      </w:r>
      <w:r>
        <w:t xml:space="preserve"> </w:t>
      </w:r>
      <w:r>
        <w:t xml:space="preserve">disease,</w:t>
      </w:r>
      <w:r>
        <w:t xml:space="preserve"> </w:t>
      </w:r>
      <w:r>
        <w:t xml:space="preserve">addressing</w:t>
      </w:r>
      <w:r>
        <w:t xml:space="preserve"> </w:t>
      </w:r>
      <w:r>
        <w:t xml:space="preserve">aspects</w:t>
      </w:r>
      <w:r>
        <w:t xml:space="preserve"> </w:t>
      </w:r>
      <w:r>
        <w:t xml:space="preserve">related</w:t>
      </w:r>
      <w:r>
        <w:t xml:space="preserve"> </w:t>
      </w:r>
      <w:r>
        <w:t xml:space="preserve">to</w:t>
      </w:r>
      <w:r>
        <w:t xml:space="preserve"> </w:t>
      </w:r>
      <w:r>
        <w:t xml:space="preserve">its</w:t>
      </w:r>
      <w:r>
        <w:t xml:space="preserve"> </w:t>
      </w:r>
      <w:r>
        <w:t xml:space="preserve">transmission,</w:t>
      </w:r>
      <w:r>
        <w:t xml:space="preserve"> </w:t>
      </w:r>
      <w:r>
        <w:t xml:space="preserve">viral</w:t>
      </w:r>
      <w:r>
        <w:t xml:space="preserve"> </w:t>
      </w:r>
      <w:r>
        <w:t xml:space="preserve">activity</w:t>
      </w:r>
      <w:r>
        <w:t xml:space="preserve"> </w:t>
      </w:r>
      <w:r>
        <w:t xml:space="preserve">period,</w:t>
      </w:r>
      <w:r>
        <w:t xml:space="preserve"> </w:t>
      </w:r>
      <w:r>
        <w:t xml:space="preserve">symptoms</w:t>
      </w:r>
      <w:r>
        <w:t xml:space="preserve"> </w:t>
      </w:r>
      <w:r>
        <w:t xml:space="preserve">and</w:t>
      </w:r>
      <w:r>
        <w:t xml:space="preserve"> </w:t>
      </w:r>
      <w:r>
        <w:t xml:space="preserve">health</w:t>
      </w:r>
      <w:r>
        <w:t xml:space="preserve"> </w:t>
      </w:r>
      <w:r>
        <w:t xml:space="preserve">complications,</w:t>
      </w:r>
      <w:r>
        <w:t xml:space="preserve"> </w:t>
      </w:r>
      <w:r>
        <w:t xml:space="preserve">risk</w:t>
      </w:r>
      <w:r>
        <w:t xml:space="preserve"> </w:t>
      </w:r>
      <w:r>
        <w:t xml:space="preserve">factors,</w:t>
      </w:r>
      <w:r>
        <w:t xml:space="preserve"> </w:t>
      </w:r>
      <w:r>
        <w:t xml:space="preserve">and</w:t>
      </w:r>
      <w:r>
        <w:t xml:space="preserve"> </w:t>
      </w:r>
      <w:r>
        <w:t xml:space="preserve">estimative</w:t>
      </w:r>
      <w:r>
        <w:t xml:space="preserve"> </w:t>
      </w:r>
      <w:r>
        <w:t xml:space="preserve">of</w:t>
      </w:r>
      <w:r>
        <w:t xml:space="preserve"> </w:t>
      </w:r>
      <w:r>
        <w:t xml:space="preserve">new</w:t>
      </w:r>
      <w:r>
        <w:t xml:space="preserve"> </w:t>
      </w:r>
      <w:r>
        <w:t xml:space="preserve">cases</w:t>
      </w:r>
      <w:r>
        <w:t xml:space="preserve"> </w:t>
      </w:r>
      <w:r>
        <w:t xml:space="preserve">and</w:t>
      </w:r>
      <w:r>
        <w:t xml:space="preserve"> </w:t>
      </w:r>
      <w:r>
        <w:t xml:space="preserve">deaths.</w:t>
      </w:r>
      <w:r>
        <w:t xml:space="preserve"> </w:t>
      </w:r>
      <w:r>
        <w:t xml:space="preserve">The</w:t>
      </w:r>
      <w:r>
        <w:t xml:space="preserve"> </w:t>
      </w:r>
      <w:r>
        <w:t xml:space="preserve">papers</w:t>
      </w:r>
      <w:r>
        <w:t xml:space="preserve"> </w:t>
      </w:r>
      <w:r>
        <w:t xml:space="preserve">also</w:t>
      </w:r>
      <w:r>
        <w:t xml:space="preserve"> </w:t>
      </w:r>
      <w:r>
        <w:t xml:space="preserve">focused</w:t>
      </w:r>
      <w:r>
        <w:t xml:space="preserve"> </w:t>
      </w:r>
      <w:r>
        <w:t xml:space="preserve">on</w:t>
      </w:r>
      <w:r>
        <w:t xml:space="preserve"> </w:t>
      </w:r>
      <w:r>
        <w:t xml:space="preserve">the</w:t>
      </w:r>
      <w:r>
        <w:t xml:space="preserve"> </w:t>
      </w:r>
      <w:r>
        <w:t xml:space="preserve">treatment/prevention</w:t>
      </w:r>
      <w:r>
        <w:t xml:space="preserve"> </w:t>
      </w:r>
      <w:r>
        <w:t xml:space="preserve">and</w:t>
      </w:r>
      <w:r>
        <w:t xml:space="preserve"> </w:t>
      </w:r>
      <w:r>
        <w:t xml:space="preserve">management</w:t>
      </w:r>
      <w:r>
        <w:t xml:space="preserve"> </w:t>
      </w:r>
      <w:r>
        <w:t xml:space="preserve">of</w:t>
      </w:r>
      <w:r>
        <w:t xml:space="preserve"> </w:t>
      </w:r>
      <w:r>
        <w:t xml:space="preserve">COVID-19.</w:t>
      </w:r>
      <w:r>
        <w:t xml:space="preserve"> </w:t>
      </w:r>
      <w:r>
        <w:t xml:space="preserve">Several</w:t>
      </w:r>
      <w:r>
        <w:t xml:space="preserve"> </w:t>
      </w:r>
      <w:r>
        <w:t xml:space="preserve">drugs</w:t>
      </w:r>
      <w:r>
        <w:t xml:space="preserve"> </w:t>
      </w:r>
      <w:r>
        <w:t xml:space="preserve">and</w:t>
      </w:r>
      <w:r>
        <w:t xml:space="preserve"> </w:t>
      </w:r>
      <w:r>
        <w:t xml:space="preserve">alternative</w:t>
      </w:r>
      <w:r>
        <w:t xml:space="preserve"> </w:t>
      </w:r>
      <w:r>
        <w:t xml:space="preserve">treatments</w:t>
      </w:r>
      <w:r>
        <w:t xml:space="preserve"> </w:t>
      </w:r>
      <w:r>
        <w:t xml:space="preserve">have</w:t>
      </w:r>
      <w:r>
        <w:t xml:space="preserve"> </w:t>
      </w:r>
      <w:r>
        <w:t xml:space="preserve">been</w:t>
      </w:r>
      <w:r>
        <w:t xml:space="preserve"> </w:t>
      </w:r>
      <w:r>
        <w:t xml:space="preserve">investigated</w:t>
      </w:r>
      <w:r>
        <w:t xml:space="preserve"> </w:t>
      </w:r>
      <w:r>
        <w:t xml:space="preserve">such</w:t>
      </w:r>
      <w:r>
        <w:t xml:space="preserve"> </w:t>
      </w:r>
      <w:r>
        <w:t xml:space="preserve">as</w:t>
      </w:r>
      <w:r>
        <w:t xml:space="preserve"> </w:t>
      </w:r>
      <w:r>
        <w:t xml:space="preserve">the</w:t>
      </w:r>
      <w:r>
        <w:t xml:space="preserve"> </w:t>
      </w:r>
      <w:r>
        <w:t xml:space="preserve">convalescent</w:t>
      </w:r>
      <w:r>
        <w:t xml:space="preserve"> </w:t>
      </w:r>
      <w:r>
        <w:t xml:space="preserve">plasma</w:t>
      </w:r>
      <w:r>
        <w:t xml:space="preserve"> </w:t>
      </w:r>
      <w:r>
        <w:t xml:space="preserve">transfusion</w:t>
      </w:r>
      <w:r>
        <w:t xml:space="preserve"> </w:t>
      </w:r>
      <w:r>
        <w:t xml:space="preserve">and</w:t>
      </w:r>
      <w:r>
        <w:t xml:space="preserve"> </w:t>
      </w:r>
      <w:r>
        <w:t xml:space="preserve">stem</w:t>
      </w:r>
      <w:r>
        <w:t xml:space="preserve"> </w:t>
      </w:r>
      <w:r>
        <w:t xml:space="preserve">cell</w:t>
      </w:r>
      <w:r>
        <w:t xml:space="preserve"> </w:t>
      </w:r>
      <w:r>
        <w:t xml:space="preserve">transplantation,</w:t>
      </w:r>
      <w:r>
        <w:t xml:space="preserve"> </w:t>
      </w:r>
      <w:r>
        <w:t xml:space="preserve">while</w:t>
      </w:r>
      <w:r>
        <w:t xml:space="preserve"> </w:t>
      </w:r>
      <w:r>
        <w:t xml:space="preserve">an</w:t>
      </w:r>
      <w:r>
        <w:t xml:space="preserve"> </w:t>
      </w:r>
      <w:r>
        <w:t xml:space="preserve">efficient</w:t>
      </w:r>
      <w:r>
        <w:t xml:space="preserve"> </w:t>
      </w:r>
      <w:r>
        <w:t xml:space="preserve">vaccine</w:t>
      </w:r>
      <w:r>
        <w:t xml:space="preserve"> </w:t>
      </w:r>
      <w:r>
        <w:t xml:space="preserve">is</w:t>
      </w:r>
      <w:r>
        <w:t xml:space="preserve"> </w:t>
      </w:r>
      <w:r>
        <w:t xml:space="preserve">developed.</w:t>
      </w:r>
      <w:r>
        <w:t xml:space="preserve"> </w:t>
      </w:r>
      <w:r>
        <w:t xml:space="preserve">Prevention</w:t>
      </w:r>
      <w:r>
        <w:t xml:space="preserve"> </w:t>
      </w:r>
      <w:r>
        <w:t xml:space="preserve">and</w:t>
      </w:r>
      <w:r>
        <w:t xml:space="preserve"> </w:t>
      </w:r>
      <w:r>
        <w:t xml:space="preserve">control</w:t>
      </w:r>
      <w:r>
        <w:t xml:space="preserve"> </w:t>
      </w:r>
      <w:r>
        <w:t xml:space="preserve">measures</w:t>
      </w:r>
      <w:r>
        <w:t xml:space="preserve"> </w:t>
      </w:r>
      <w:r>
        <w:t xml:space="preserve">such</w:t>
      </w:r>
      <w:r>
        <w:t xml:space="preserve"> </w:t>
      </w:r>
      <w:r>
        <w:t xml:space="preserve">as</w:t>
      </w:r>
      <w:r>
        <w:t xml:space="preserve"> </w:t>
      </w:r>
      <w:r>
        <w:t xml:space="preserve">social</w:t>
      </w:r>
      <w:r>
        <w:t xml:space="preserve"> </w:t>
      </w:r>
      <w:r>
        <w:t xml:space="preserve">isolation</w:t>
      </w:r>
      <w:r>
        <w:t xml:space="preserve"> </w:t>
      </w:r>
      <w:r>
        <w:t xml:space="preserve">and</w:t>
      </w:r>
      <w:r>
        <w:t xml:space="preserve"> </w:t>
      </w:r>
      <w:r>
        <w:t xml:space="preserve">immediate</w:t>
      </w:r>
      <w:r>
        <w:t xml:space="preserve"> </w:t>
      </w:r>
      <w:r>
        <w:t xml:space="preserve">case</w:t>
      </w:r>
      <w:r>
        <w:t xml:space="preserve"> </w:t>
      </w:r>
      <w:r>
        <w:t xml:space="preserve">identification</w:t>
      </w:r>
      <w:r>
        <w:t xml:space="preserve"> </w:t>
      </w:r>
      <w:r>
        <w:t xml:space="preserve">were</w:t>
      </w:r>
      <w:r>
        <w:t xml:space="preserve"> </w:t>
      </w:r>
      <w:r>
        <w:t xml:space="preserve">also</w:t>
      </w:r>
      <w:r>
        <w:t xml:space="preserve"> </w:t>
      </w:r>
      <w:r>
        <w:t xml:space="preserve">investigated.</w:t>
      </w:r>
      <w:r>
        <w:t xml:space="preserve"> </w:t>
      </w:r>
      <w:r>
        <w:t xml:space="preserve">Thus,</w:t>
      </w:r>
      <w:r>
        <w:t xml:space="preserve"> </w:t>
      </w:r>
      <w:r>
        <w:t xml:space="preserve">this</w:t>
      </w:r>
      <w:r>
        <w:t xml:space="preserve"> </w:t>
      </w:r>
      <w:r>
        <w:t xml:space="preserve">work</w:t>
      </w:r>
      <w:r>
        <w:t xml:space="preserve"> </w:t>
      </w:r>
      <w:r>
        <w:t xml:space="preserve">contributed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determination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development</w:t>
      </w:r>
      <w:r>
        <w:t xml:space="preserve"> </w:t>
      </w:r>
      <w:r>
        <w:t xml:space="preserve">level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research</w:t>
      </w:r>
      <w:r>
        <w:t xml:space="preserve"> </w:t>
      </w:r>
      <w:r>
        <w:t xml:space="preserve">evolution</w:t>
      </w:r>
      <w:r>
        <w:t xml:space="preserve"> </w:t>
      </w:r>
      <w:r>
        <w:t xml:space="preserve">on</w:t>
      </w:r>
      <w:r>
        <w:t xml:space="preserve"> </w:t>
      </w:r>
      <w:r>
        <w:t xml:space="preserve">COVID-19,</w:t>
      </w:r>
      <w:r>
        <w:t xml:space="preserve"> </w:t>
      </w:r>
      <w:r>
        <w:t xml:space="preserve">summarizing</w:t>
      </w:r>
      <w:r>
        <w:t xml:space="preserve"> </w:t>
      </w:r>
      <w:r>
        <w:t xml:space="preserve">the</w:t>
      </w:r>
      <w:r>
        <w:t xml:space="preserve"> </w:t>
      </w:r>
      <w:r>
        <w:t xml:space="preserve">main</w:t>
      </w:r>
      <w:r>
        <w:t xml:space="preserve"> </w:t>
      </w:r>
      <w:r>
        <w:t xml:space="preserve">trends</w:t>
      </w:r>
      <w:r>
        <w:t xml:space="preserve"> </w:t>
      </w:r>
      <w:r>
        <w:t xml:space="preserve">observed</w:t>
      </w:r>
      <w:r>
        <w:t xml:space="preserve"> </w:t>
      </w:r>
      <w:r>
        <w:t xml:space="preserve">by</w:t>
      </w:r>
      <w:r>
        <w:t xml:space="preserve"> </w:t>
      </w:r>
      <w:r>
        <w:t xml:space="preserve">experts</w:t>
      </w:r>
      <w:r>
        <w:t xml:space="preserve"> </w:t>
      </w:r>
      <w:r>
        <w:t xml:space="preserve">on</w:t>
      </w:r>
      <w:r>
        <w:t xml:space="preserve"> </w:t>
      </w:r>
      <w:r>
        <w:t xml:space="preserve">the</w:t>
      </w:r>
      <w:r>
        <w:t xml:space="preserve"> </w:t>
      </w:r>
      <w:r>
        <w:t xml:space="preserve">subject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first</w:t>
      </w:r>
      <w:r>
        <w:t xml:space="preserve"> </w:t>
      </w:r>
      <w:r>
        <w:t xml:space="preserve">half</w:t>
      </w:r>
      <w:r>
        <w:t xml:space="preserve"> </w:t>
      </w:r>
      <w:r>
        <w:t xml:space="preserve">of</w:t>
      </w:r>
      <w:r>
        <w:t xml:space="preserve"> </w:t>
      </w:r>
      <w:r>
        <w:t xml:space="preserve">2020.</w:t>
      </w:r>
    </w:p>
    <w:p>
      <w:pPr>
        <w:pStyle w:val="FirstParagraph"/>
      </w:pPr>
      <w:r>
        <w:rPr>
          <w:b/>
        </w:rPr>
        <w:t xml:space="preserve">Introduction</w:t>
      </w:r>
    </w:p>
    <w:p>
      <w:pPr>
        <w:pStyle w:val="BodyText"/>
      </w:pPr>
      <w:r>
        <w:t xml:space="preserve">At the end of December 2019, in the city of Wuhan in China, a novel</w:t>
      </w:r>
      <w:r>
        <w:t xml:space="preserve"> </w:t>
      </w:r>
      <w:r>
        <w:t xml:space="preserve">coronavirus appeared, responsible for a severe acute respiratory</w:t>
      </w:r>
      <w:r>
        <w:t xml:space="preserve"> </w:t>
      </w:r>
      <w:r>
        <w:t xml:space="preserve">syndrome, similar to the one that occurred in 2003, called SARS-CoV-2. A</w:t>
      </w:r>
      <w:r>
        <w:t xml:space="preserve"> </w:t>
      </w:r>
      <w:r>
        <w:t xml:space="preserve">month later, the World Health Organization (WHO) declared that the</w:t>
      </w:r>
      <w:r>
        <w:t xml:space="preserve"> </w:t>
      </w:r>
      <w:r>
        <w:t xml:space="preserve">coronavirus disease 2019 (COVID-19) outbreak consisted of a Public</w:t>
      </w:r>
      <w:r>
        <w:t xml:space="preserve"> </w:t>
      </w:r>
      <w:r>
        <w:t xml:space="preserve">Health Emergency of International Importance, after H1N1 (2009), polio</w:t>
      </w:r>
      <w:r>
        <w:t xml:space="preserve"> </w:t>
      </w:r>
      <w:r>
        <w:t xml:space="preserve">(2014), Ebola in West Africa (2014), Zika (2016), and Ebola in the</w:t>
      </w:r>
      <w:r>
        <w:t xml:space="preserve"> </w:t>
      </w:r>
      <w:r>
        <w:t xml:space="preserve">Democratic Republic of Congo (2019). In March 2020, WHO declared the</w:t>
      </w:r>
      <w:r>
        <w:t xml:space="preserve"> </w:t>
      </w:r>
      <w:r>
        <w:t xml:space="preserve">COVID-19 pandemic (https://www.paho.org/en).</w:t>
      </w:r>
    </w:p>
    <w:p>
      <w:pPr>
        <w:pStyle w:val="BodyText"/>
      </w:pPr>
      <w:r>
        <w:t xml:space="preserve">From the start of the pandemic to the first week of July 2020, more than</w:t>
      </w:r>
      <w:r>
        <w:t xml:space="preserve"> </w:t>
      </w:r>
      <w:r>
        <w:t xml:space="preserve">11.6 million cases of COVID-19, with more than 500,000 deaths and 216</w:t>
      </w:r>
      <w:r>
        <w:t xml:space="preserve"> </w:t>
      </w:r>
      <w:r>
        <w:t xml:space="preserve">affected countries worldwide have been confirmed by WHO. Until this</w:t>
      </w:r>
      <w:r>
        <w:t xml:space="preserve"> </w:t>
      </w:r>
      <w:r>
        <w:t xml:space="preserve">moment, the USA and Brazil were the countries with the most cases of the</w:t>
      </w:r>
      <w:r>
        <w:t xml:space="preserve"> </w:t>
      </w:r>
      <w:r>
        <w:t xml:space="preserve">disease</w:t>
      </w:r>
      <w:r>
        <w:t xml:space="preserve"> </w:t>
      </w:r>
      <w:r>
        <w:t xml:space="preserve">(https://www.who.int/emergencies/diseases/novel-coronavirus-2019).</w:t>
      </w:r>
    </w:p>
    <w:p>
      <w:pPr>
        <w:pStyle w:val="BodyText"/>
      </w:pPr>
      <w:r>
        <w:t xml:space="preserve">With the emergence and advancement of COVID-19, the world scientific</w:t>
      </w:r>
      <w:r>
        <w:t xml:space="preserve"> </w:t>
      </w:r>
      <w:r>
        <w:t xml:space="preserve">community began a series of investigations and research aimed at</w:t>
      </w:r>
      <w:r>
        <w:t xml:space="preserve"> </w:t>
      </w:r>
      <w:r>
        <w:t xml:space="preserve">understanding the behavior of the novel coronavirus in the human body,</w:t>
      </w:r>
      <w:r>
        <w:t xml:space="preserve"> </w:t>
      </w:r>
      <w:r>
        <w:t xml:space="preserve">the consequences of the disease caused by it, and the most effective</w:t>
      </w:r>
      <w:r>
        <w:t xml:space="preserve"> </w:t>
      </w:r>
      <w:r>
        <w:t xml:space="preserve">treatment for the combating of the COVID-19 pandemic. Furthermore,</w:t>
      </w:r>
      <w:r>
        <w:t xml:space="preserve"> </w:t>
      </w:r>
      <w:r>
        <w:t xml:space="preserve">several studies have presented guidelines for disease management or held</w:t>
      </w:r>
      <w:r>
        <w:t xml:space="preserve"> </w:t>
      </w:r>
      <w:r>
        <w:t xml:space="preserve">discussions, aimed at the implementation of public health policies by</w:t>
      </w:r>
      <w:r>
        <w:t xml:space="preserve"> </w:t>
      </w:r>
      <w:r>
        <w:t xml:space="preserve">the governments of the affected countries (Alhazzani et al., 2020;</w:t>
      </w:r>
      <w:r>
        <w:t xml:space="preserve"> </w:t>
      </w:r>
      <w:r>
        <w:t xml:space="preserve">Wilder-Smith et al., 2020). Social isolation measures, rapid</w:t>
      </w:r>
      <w:r>
        <w:t xml:space="preserve"> </w:t>
      </w:r>
      <w:r>
        <w:t xml:space="preserve">identification of suspected cases, and the tracking and follow-up of</w:t>
      </w:r>
      <w:r>
        <w:t xml:space="preserve"> </w:t>
      </w:r>
      <w:r>
        <w:t xml:space="preserve">potential contacts between infected and non-infected were the main</w:t>
      </w:r>
      <w:r>
        <w:t xml:space="preserve"> </w:t>
      </w:r>
      <w:r>
        <w:t xml:space="preserve">strategies suggested as being efficient in the prevention and control of</w:t>
      </w:r>
      <w:r>
        <w:t xml:space="preserve"> </w:t>
      </w:r>
      <w:r>
        <w:t xml:space="preserve">the COVID-19 (Wilder-Smith et al., 2020).</w:t>
      </w:r>
    </w:p>
    <w:p>
      <w:pPr>
        <w:pStyle w:val="BodyText"/>
      </w:pPr>
      <w:r>
        <w:t xml:space="preserve">In this work, we carried out a prospection of scientific articles about</w:t>
      </w:r>
      <w:r>
        <w:t xml:space="preserve"> </w:t>
      </w:r>
      <w:r>
        <w:t xml:space="preserve">COVID-19, aiming to establish the scientific trajectory of the disease</w:t>
      </w:r>
      <w:r>
        <w:t xml:space="preserve"> </w:t>
      </w:r>
      <w:r>
        <w:t xml:space="preserve">and identifying the development level of worldwide research on the novel</w:t>
      </w:r>
      <w:r>
        <w:t xml:space="preserve"> </w:t>
      </w:r>
      <w:r>
        <w:t xml:space="preserve">coronavirus in recent months, specifically from February to June. The</w:t>
      </w:r>
      <w:r>
        <w:t xml:space="preserve"> </w:t>
      </w:r>
      <w:r>
        <w:t xml:space="preserve">selected papers were classified according to their approach,</w:t>
      </w:r>
      <w:r>
        <w:t xml:space="preserve"> </w:t>
      </w:r>
      <w:r>
        <w:t xml:space="preserve">highlighting the transmission aspects, symptoms, risk factors, proposed</w:t>
      </w:r>
      <w:r>
        <w:t xml:space="preserve"> </w:t>
      </w:r>
      <w:r>
        <w:t xml:space="preserve">treatments, clinical tests and measures for the prevention and control</w:t>
      </w:r>
      <w:r>
        <w:t xml:space="preserve"> </w:t>
      </w:r>
      <w:r>
        <w:t xml:space="preserve">of the disease.</w:t>
      </w:r>
    </w:p>
    <w:p>
      <w:pPr>
        <w:pStyle w:val="BodyText"/>
      </w:pPr>
      <w:r>
        <w:rPr>
          <w:b/>
        </w:rPr>
        <w:t xml:space="preserve">Scientific Studies</w:t>
      </w:r>
    </w:p>
    <w:p>
      <w:pPr>
        <w:pStyle w:val="BodyText"/>
      </w:pPr>
      <w:r>
        <w:t xml:space="preserve">China, the USA, and the UK were the countries with the most papers on</w:t>
      </w:r>
      <w:r>
        <w:t xml:space="preserve"> </w:t>
      </w:r>
      <w:r>
        <w:t xml:space="preserve">COVID-19 cited by the scientific community. About 28% of the scientific</w:t>
      </w:r>
      <w:r>
        <w:t xml:space="preserve"> </w:t>
      </w:r>
      <w:r>
        <w:t xml:space="preserve">investigations were performed by Chinese research institutions and</w:t>
      </w:r>
      <w:r>
        <w:t xml:space="preserve"> </w:t>
      </w:r>
      <w:r>
        <w:t xml:space="preserve">universities, followed by 16% from the USA and 11% from the UK.</w:t>
      </w:r>
      <w:r>
        <w:t xml:space="preserve"> </w:t>
      </w:r>
      <w:r>
        <w:t xml:space="preserve">Several studies were conducted in hospitals, by health professionals</w:t>
      </w:r>
      <w:r>
        <w:t xml:space="preserve"> </w:t>
      </w:r>
      <w:r>
        <w:t xml:space="preserve">linked or not to the academy (Fig. 1). Medical associations from</w:t>
      </w:r>
      <w:r>
        <w:t xml:space="preserve"> </w:t>
      </w:r>
      <w:r>
        <w:t xml:space="preserve">countries such as Korea and the USA, and national and international</w:t>
      </w:r>
      <w:r>
        <w:t xml:space="preserve"> </w:t>
      </w:r>
      <w:r>
        <w:t xml:space="preserve">scientific research centers such as the Centers for Disease Control and</w:t>
      </w:r>
      <w:r>
        <w:t xml:space="preserve"> </w:t>
      </w:r>
      <w:r>
        <w:t xml:space="preserve">Prevention (USA) (Bialek et al., 2020) have also developed research on</w:t>
      </w:r>
      <w:r>
        <w:t xml:space="preserve"> </w:t>
      </w:r>
      <w:r>
        <w:t xml:space="preserve">the subject.</w:t>
      </w:r>
    </w:p>
    <w:p>
      <w:pPr>
        <w:pStyle w:val="BodyText"/>
      </w:pPr>
      <w:r>
        <w:t xml:space="preserve">About 60% of the papers presented disease aspects, whose main</w:t>
      </w:r>
      <w:r>
        <w:t xml:space="preserve"> </w:t>
      </w:r>
      <w:r>
        <w:t xml:space="preserve">nomenclatures were: COVID-19, SARS-CoV-2 (acute respiratory syndrome</w:t>
      </w:r>
      <w:r>
        <w:t xml:space="preserve"> </w:t>
      </w:r>
      <w:r>
        <w:t xml:space="preserve">coronavirus 2), Novel coronavirus pneumonia, and Wuhan pneumonia. The</w:t>
      </w:r>
      <w:r>
        <w:t xml:space="preserve"> </w:t>
      </w:r>
      <w:r>
        <w:t xml:space="preserve">novel coronavirus origin was attributed to two animals, the bat and the</w:t>
      </w:r>
      <w:r>
        <w:t xml:space="preserve"> </w:t>
      </w:r>
      <w:r>
        <w:t xml:space="preserve">pangolin. For the bats, two types of viruses have been reported:</w:t>
      </w:r>
      <w:r>
        <w:t xml:space="preserve"> </w:t>
      </w:r>
      <w:r>
        <w:t xml:space="preserve">bat-SL-CoVZC45 and bat-SL-CoVZXC21 (Lai et al., 2020). For the</w:t>
      </w:r>
      <w:r>
        <w:t xml:space="preserve"> </w:t>
      </w:r>
      <w:r>
        <w:t xml:space="preserve">pangolins, the Pangolin-CoV was identified (Zhang et al., 2020). About</w:t>
      </w:r>
      <w:r>
        <w:t xml:space="preserve"> </w:t>
      </w:r>
      <w:r>
        <w:t xml:space="preserve">23% of the papers corresponded to the treatment and prevention</w:t>
      </w:r>
      <w:r>
        <w:t xml:space="preserve"> </w:t>
      </w:r>
      <w:r>
        <w:t xml:space="preserve">investigations of the disease, and 17% discussed the COVID-19</w:t>
      </w:r>
      <w:r>
        <w:t xml:space="preserve"> </w:t>
      </w:r>
      <w:r>
        <w:t xml:space="preserve">management (Fig. 2).</w:t>
      </w:r>
    </w:p>
    <w:p>
      <w:pPr>
        <w:pStyle w:val="BodyText"/>
      </w:pPr>
      <w:r>
        <w:rPr>
          <w:b/>
        </w:rPr>
        <w:t xml:space="preserve">Scientific Trajectory</w:t>
      </w:r>
    </w:p>
    <w:p>
      <w:pPr>
        <w:pStyle w:val="BodyText"/>
      </w:pPr>
      <w:r>
        <w:t xml:space="preserve">The scientific trajectory revealed important aspects for the</w:t>
      </w:r>
      <w:r>
        <w:t xml:space="preserve"> </w:t>
      </w:r>
      <w:r>
        <w:t xml:space="preserve">understanding of the COVID-19. Approximately 70% of the papers</w:t>
      </w:r>
      <w:r>
        <w:t xml:space="preserve"> </w:t>
      </w:r>
      <w:r>
        <w:t xml:space="preserve">discussed the disease in March 2020, 50% approached the treatment and</w:t>
      </w:r>
      <w:r>
        <w:t xml:space="preserve"> </w:t>
      </w:r>
      <w:r>
        <w:t xml:space="preserve">prevention in February 2020, and 30% suggested management measures of</w:t>
      </w:r>
      <w:r>
        <w:t xml:space="preserve"> </w:t>
      </w:r>
      <w:r>
        <w:t xml:space="preserve">disease in May 2020 (Fig. 3A). The search for treatment before a</w:t>
      </w:r>
      <w:r>
        <w:t xml:space="preserve"> </w:t>
      </w:r>
      <w:r>
        <w:t xml:space="preserve">complete understanding of the disease can be explained by the novelty</w:t>
      </w:r>
      <w:r>
        <w:t xml:space="preserve"> </w:t>
      </w:r>
      <w:r>
        <w:t xml:space="preserve">and the rapid advance of COVID-19, which in February 2020 required</w:t>
      </w:r>
      <w:r>
        <w:t xml:space="preserve"> </w:t>
      </w:r>
      <w:r>
        <w:t xml:space="preserve">immediate action to the control of the infection. With the disease</w:t>
      </w:r>
      <w:r>
        <w:t xml:space="preserve"> </w:t>
      </w:r>
      <w:r>
        <w:t xml:space="preserve">development and the scientific research advancement, about 67% of the</w:t>
      </w:r>
      <w:r>
        <w:t xml:space="preserve"> </w:t>
      </w:r>
      <w:r>
        <w:t xml:space="preserve">investigations in June 2020 focused on understanding the disease.</w:t>
      </w:r>
    </w:p>
    <w:p>
      <w:pPr>
        <w:pStyle w:val="BodyText"/>
      </w:pPr>
      <w:r>
        <w:rPr>
          <w:b/>
        </w:rPr>
        <w:t xml:space="preserve">Disease</w:t>
      </w:r>
    </w:p>
    <w:p>
      <w:pPr>
        <w:pStyle w:val="BodyText"/>
      </w:pPr>
      <w:r>
        <w:t xml:space="preserve">COVID-19 was characterized as a flu, capable of generating complications</w:t>
      </w:r>
      <w:r>
        <w:t xml:space="preserve"> </w:t>
      </w:r>
      <w:r>
        <w:t xml:space="preserve">in the human respiratory system, such as pneumonia. People with</w:t>
      </w:r>
      <w:r>
        <w:t xml:space="preserve"> </w:t>
      </w:r>
      <w:r>
        <w:t xml:space="preserve">comorbidities or old age were more prone to the most severe stage of the</w:t>
      </w:r>
      <w:r>
        <w:t xml:space="preserve"> </w:t>
      </w:r>
      <w:r>
        <w:t xml:space="preserve">disease, transmitted through direct contact with infected people and in</w:t>
      </w:r>
      <w:r>
        <w:t xml:space="preserve"> </w:t>
      </w:r>
      <w:r>
        <w:t xml:space="preserve">the air. The symptomatic period was longer than that of a common flu and</w:t>
      </w:r>
      <w:r>
        <w:t xml:space="preserve"> </w:t>
      </w:r>
      <w:r>
        <w:t xml:space="preserve">the transmissibility and infectivity were considered greater than</w:t>
      </w:r>
      <w:r>
        <w:t xml:space="preserve"> </w:t>
      </w:r>
      <w:r>
        <w:t xml:space="preserve">SARS-CoV, with the prediction of many more contaminated and deaths (Fig.</w:t>
      </w:r>
      <w:r>
        <w:t xml:space="preserve"> </w:t>
      </w:r>
      <w:r>
        <w:t xml:space="preserve">3B).</w:t>
      </w:r>
    </w:p>
    <w:p>
      <w:pPr>
        <w:pStyle w:val="BodyText"/>
      </w:pPr>
      <w:r>
        <w:rPr>
          <w:i/>
        </w:rPr>
        <w:t xml:space="preserve">Transmission</w:t>
      </w:r>
    </w:p>
    <w:p>
      <w:pPr>
        <w:pStyle w:val="BodyText"/>
      </w:pPr>
      <w:r>
        <w:t xml:space="preserve">Two types of transmission have been identified in scientific research:</w:t>
      </w:r>
      <w:r>
        <w:t xml:space="preserve"> </w:t>
      </w:r>
      <w:r>
        <w:t xml:space="preserve">secondary and tertiary transmissions. In both cases, the transmission</w:t>
      </w:r>
      <w:r>
        <w:t xml:space="preserve"> </w:t>
      </w:r>
      <w:r>
        <w:t xml:space="preserve">occurred through direct contact by droplets exchanged between infected</w:t>
      </w:r>
      <w:r>
        <w:t xml:space="preserve"> </w:t>
      </w:r>
      <w:r>
        <w:t xml:space="preserve">and healthy people, as verified by previous studies (Lai et al., 2020).</w:t>
      </w:r>
      <w:r>
        <w:t xml:space="preserve"> </w:t>
      </w:r>
      <w:r>
        <w:t xml:space="preserve">Secondary transmission was also attributed to the hospital transmission</w:t>
      </w:r>
      <w:r>
        <w:t xml:space="preserve"> </w:t>
      </w:r>
      <w:r>
        <w:t xml:space="preserve">and the contact between asymptomatic and healthy patients. The COVID-19</w:t>
      </w:r>
      <w:r>
        <w:t xml:space="preserve"> </w:t>
      </w:r>
      <w:r>
        <w:t xml:space="preserve">expansion in the world, however, has been attributed to international</w:t>
      </w:r>
      <w:r>
        <w:t xml:space="preserve"> </w:t>
      </w:r>
      <w:r>
        <w:t xml:space="preserve">travel, especially by people from China (Lai et al., 2020). One of the</w:t>
      </w:r>
      <w:r>
        <w:t xml:space="preserve"> </w:t>
      </w:r>
      <w:r>
        <w:t xml:space="preserve">first transmission cases outside of China occurred with a 54-year-old</w:t>
      </w:r>
      <w:r>
        <w:t xml:space="preserve"> </w:t>
      </w:r>
      <w:r>
        <w:t xml:space="preserve">Korean man, who lived in Wuhan, China. Upon returning to Korea, the man</w:t>
      </w:r>
      <w:r>
        <w:t xml:space="preserve"> </w:t>
      </w:r>
      <w:r>
        <w:t xml:space="preserve">transmitted the disease to a friend (secondary route), who in turn</w:t>
      </w:r>
      <w:r>
        <w:t xml:space="preserve"> </w:t>
      </w:r>
      <w:r>
        <w:t xml:space="preserve">transmitted it to his wife, son, and another friend (tertiary route)</w:t>
      </w:r>
      <w:r>
        <w:t xml:space="preserve"> </w:t>
      </w:r>
      <w:r>
        <w:t xml:space="preserve">(Lim et al., 2020). At the beginning of the pandemic, both transmission</w:t>
      </w:r>
      <w:r>
        <w:t xml:space="preserve"> </w:t>
      </w:r>
      <w:r>
        <w:t xml:space="preserve">types were also reported in scientific articles, however, in March 2020,</w:t>
      </w:r>
      <w:r>
        <w:t xml:space="preserve"> </w:t>
      </w:r>
      <w:r>
        <w:t xml:space="preserve">only secondary transmission was reported. In the following months until</w:t>
      </w:r>
      <w:r>
        <w:t xml:space="preserve"> </w:t>
      </w:r>
      <w:r>
        <w:t xml:space="preserve">June 2020, the transmission type of the novel coronavirus was not</w:t>
      </w:r>
      <w:r>
        <w:t xml:space="preserve"> </w:t>
      </w:r>
      <w:r>
        <w:t xml:space="preserve">reported by the most cited papers (Fig. 4A). The closure of borders and</w:t>
      </w:r>
      <w:r>
        <w:t xml:space="preserve"> </w:t>
      </w:r>
      <w:r>
        <w:t xml:space="preserve">international airports possibly contributed to the reduction of tertiary</w:t>
      </w:r>
      <w:r>
        <w:t xml:space="preserve"> </w:t>
      </w:r>
      <w:r>
        <w:t xml:space="preserve">transmissions in the world.</w:t>
      </w:r>
    </w:p>
    <w:p>
      <w:pPr>
        <w:pStyle w:val="BodyText"/>
      </w:pPr>
      <w:r>
        <w:rPr>
          <w:i/>
        </w:rPr>
        <w:t xml:space="preserve">Time</w:t>
      </w:r>
    </w:p>
    <w:p>
      <w:pPr>
        <w:pStyle w:val="BodyText"/>
      </w:pPr>
      <w:r>
        <w:t xml:space="preserve">The novel coronavirus behavior and the disease manifestation were</w:t>
      </w:r>
      <w:r>
        <w:t xml:space="preserve"> </w:t>
      </w:r>
      <w:r>
        <w:t xml:space="preserve">correlated with the incubation, communicable and symptomatic periods,</w:t>
      </w:r>
      <w:r>
        <w:t xml:space="preserve"> </w:t>
      </w:r>
      <w:r>
        <w:t xml:space="preserve">and viral shedding (Fig. 4B). The average incubation period was 5 days</w:t>
      </w:r>
      <w:r>
        <w:t xml:space="preserve"> </w:t>
      </w:r>
      <w:r>
        <w:t xml:space="preserve">(Wilder-Smith et al., 2020), similar to the SARS time, within the</w:t>
      </w:r>
      <w:r>
        <w:t xml:space="preserve"> </w:t>
      </w:r>
      <w:r>
        <w:t xml:space="preserve">expected range for MERS (between 5 and 7 days), and less than the</w:t>
      </w:r>
      <w:r>
        <w:t xml:space="preserve"> </w:t>
      </w:r>
      <w:r>
        <w:t xml:space="preserve">non-SARS (3 days) (Lauer et al., 2020). However, other studies have</w:t>
      </w:r>
      <w:r>
        <w:t xml:space="preserve"> </w:t>
      </w:r>
      <w:r>
        <w:t xml:space="preserve">reported an average time between 5 and 7 days such as 5.8 days</w:t>
      </w:r>
      <w:r>
        <w:t xml:space="preserve"> </w:t>
      </w:r>
      <w:r>
        <w:t xml:space="preserve">(Hellewell et al., 2020), 6.4 days (Lai et al., 2020; Mizumoto et al.,</w:t>
      </w:r>
      <w:r>
        <w:t xml:space="preserve"> </w:t>
      </w:r>
      <w:r>
        <w:t xml:space="preserve">2020), and 6.7 days (Sijia Tian et al., 2020). The incubation period</w:t>
      </w:r>
      <w:r>
        <w:t xml:space="preserve"> </w:t>
      </w:r>
      <w:r>
        <w:t xml:space="preserve">determination contributes to the monitoring, surveillance, control, and</w:t>
      </w:r>
      <w:r>
        <w:t xml:space="preserve"> </w:t>
      </w:r>
      <w:r>
        <w:t xml:space="preserve">estimation of COVID-19 (Lauer et al., 2020). The incubation period was</w:t>
      </w:r>
      <w:r>
        <w:t xml:space="preserve"> </w:t>
      </w:r>
      <w:r>
        <w:t xml:space="preserve">investigated between March and May 2020, in at least 67% of the papers.</w:t>
      </w:r>
    </w:p>
    <w:p>
      <w:pPr>
        <w:pStyle w:val="BodyText"/>
      </w:pPr>
      <w:r>
        <w:t xml:space="preserve">The communicable period corresponds to the interval between the positive</w:t>
      </w:r>
      <w:r>
        <w:t xml:space="preserve"> </w:t>
      </w:r>
      <w:r>
        <w:t xml:space="preserve">clinical diagnosis and the negative tests for COVID-19. The average</w:t>
      </w:r>
      <w:r>
        <w:t xml:space="preserve"> </w:t>
      </w:r>
      <w:r>
        <w:t xml:space="preserve">communicable period was 9.5 days, reaching up to 21 days for</w:t>
      </w:r>
      <w:r>
        <w:t xml:space="preserve"> </w:t>
      </w:r>
      <w:r>
        <w:t xml:space="preserve">asymptomatic cases (Hu et al., 2020). The average COVID-19 symptoms</w:t>
      </w:r>
      <w:r>
        <w:t xml:space="preserve"> </w:t>
      </w:r>
      <w:r>
        <w:t xml:space="preserve">period was 11.5 days in 97.5% of patients, with an interval of 1.2 days</w:t>
      </w:r>
      <w:r>
        <w:t xml:space="preserve"> </w:t>
      </w:r>
      <w:r>
        <w:t xml:space="preserve">between the onset of symptoms and hospitalization. It is also expected a</w:t>
      </w:r>
      <w:r>
        <w:t xml:space="preserve"> </w:t>
      </w:r>
      <w:r>
        <w:t xml:space="preserve">disease development after 14 days of active monitoring or quarantine in</w:t>
      </w:r>
      <w:r>
        <w:t xml:space="preserve"> </w:t>
      </w:r>
      <w:r>
        <w:t xml:space="preserve">about 101 cases for every 10,000 (Lauer et al., 2020). The viral</w:t>
      </w:r>
      <w:r>
        <w:t xml:space="preserve"> </w:t>
      </w:r>
      <w:r>
        <w:t xml:space="preserve">shedding median was 20 days, reaching up 37 days in cured patients. The</w:t>
      </w:r>
      <w:r>
        <w:t xml:space="preserve"> </w:t>
      </w:r>
      <w:r>
        <w:t xml:space="preserve">viral shedding has also been identified in killed patients. For the</w:t>
      </w:r>
      <w:r>
        <w:t xml:space="preserve"> </w:t>
      </w:r>
      <w:r>
        <w:t xml:space="preserve">treated patients with antivirals, in the severe and the critical stages,</w:t>
      </w:r>
      <w:r>
        <w:t xml:space="preserve"> </w:t>
      </w:r>
      <w:r>
        <w:t xml:space="preserve">the viral shedding median was 22, 19, and 24 days, respectively (Zhou et</w:t>
      </w:r>
      <w:r>
        <w:t xml:space="preserve"> </w:t>
      </w:r>
      <w:r>
        <w:t xml:space="preserve">al., 2020). These four time parameters were mostly researched between</w:t>
      </w:r>
      <w:r>
        <w:t xml:space="preserve"> </w:t>
      </w:r>
      <w:r>
        <w:t xml:space="preserve">March and May 2020, in at least 17% of published works.</w:t>
      </w:r>
    </w:p>
    <w:p>
      <w:pPr>
        <w:pStyle w:val="BodyText"/>
      </w:pPr>
      <w:r>
        <w:rPr>
          <w:i/>
        </w:rPr>
        <w:t xml:space="preserve">Symptoms</w:t>
      </w:r>
    </w:p>
    <w:p>
      <w:pPr>
        <w:pStyle w:val="BodyText"/>
      </w:pPr>
      <w:r>
        <w:t xml:space="preserve">The main COVID-19 symptoms were fever, cough, sputum, chills, fatigue,</w:t>
      </w:r>
      <w:r>
        <w:t xml:space="preserve"> </w:t>
      </w:r>
      <w:r>
        <w:t xml:space="preserve">shortness of breath, headache, and olfactory and gustatory disorders.</w:t>
      </w:r>
      <w:r>
        <w:t xml:space="preserve"> </w:t>
      </w:r>
      <w:r>
        <w:t xml:space="preserve">Several asymptomatic cases have been identified worldwide (Fig. 4C).</w:t>
      </w:r>
      <w:r>
        <w:t xml:space="preserve"> </w:t>
      </w:r>
      <w:r>
        <w:t xml:space="preserve">Fever was the most common symptom among patients and the first</w:t>
      </w:r>
      <w:r>
        <w:t xml:space="preserve"> </w:t>
      </w:r>
      <w:r>
        <w:t xml:space="preserve">identified early in the pandemic (Bhatraju et al., 2020), followed by</w:t>
      </w:r>
      <w:r>
        <w:t xml:space="preserve"> </w:t>
      </w:r>
      <w:r>
        <w:t xml:space="preserve">dry cough (Lai et al., 2020), fatigue or myalgia, and headache (Sijia</w:t>
      </w:r>
      <w:r>
        <w:t xml:space="preserve"> </w:t>
      </w:r>
      <w:r>
        <w:t xml:space="preserve">Tian et al., 2020; Wan et al., 2020). The onset of fever and cough</w:t>
      </w:r>
      <w:r>
        <w:t xml:space="preserve"> </w:t>
      </w:r>
      <w:r>
        <w:t xml:space="preserve">occurred, respectively, in 5 and 7 days (Lim et al., 2020), being the</w:t>
      </w:r>
      <w:r>
        <w:t xml:space="preserve"> </w:t>
      </w:r>
      <w:r>
        <w:t xml:space="preserve">fever classified as mild (37.3-38.9 °C) or moderate (38.1-39 °C) (Wan et</w:t>
      </w:r>
      <w:r>
        <w:t xml:space="preserve"> </w:t>
      </w:r>
      <w:r>
        <w:t xml:space="preserve">al., 2020). The onset of fatigue occurred in 8 days (Xu et al., 2020).</w:t>
      </w:r>
    </w:p>
    <w:p>
      <w:pPr>
        <w:pStyle w:val="BodyText"/>
      </w:pPr>
      <w:r>
        <w:t xml:space="preserve">Other symptoms also verified in COVID-19 patients were sputum (Yang et</w:t>
      </w:r>
      <w:r>
        <w:t xml:space="preserve"> </w:t>
      </w:r>
      <w:r>
        <w:t xml:space="preserve">al., 2020), chills, shortness of breath or dyspnea (Sijia Tian et al.,</w:t>
      </w:r>
      <w:r>
        <w:t xml:space="preserve"> </w:t>
      </w:r>
      <w:r>
        <w:t xml:space="preserve">2020; Xu et al., 2020), diarrhea, and olfactory and gustatory disorders</w:t>
      </w:r>
      <w:r>
        <w:t xml:space="preserve"> </w:t>
      </w:r>
      <w:r>
        <w:t xml:space="preserve">(Lechien et al., 2020). Olfactory dysfunctions were identified in almost</w:t>
      </w:r>
      <w:r>
        <w:t xml:space="preserve"> </w:t>
      </w:r>
      <w:r>
        <w:t xml:space="preserve">86% of patients, while gustatory dysfunctions in 88% of those</w:t>
      </w:r>
      <w:r>
        <w:t xml:space="preserve"> </w:t>
      </w:r>
      <w:r>
        <w:t xml:space="preserve">evaluated in a European clinical study on these symptoms. Both</w:t>
      </w:r>
      <w:r>
        <w:t xml:space="preserve"> </w:t>
      </w:r>
      <w:r>
        <w:t xml:space="preserve">dysfunctions were not associated with nasal obstruction and the women</w:t>
      </w:r>
      <w:r>
        <w:t xml:space="preserve"> </w:t>
      </w:r>
      <w:r>
        <w:t xml:space="preserve">were more affected than men (Lechien et al., 2020).</w:t>
      </w:r>
    </w:p>
    <w:p>
      <w:pPr>
        <w:pStyle w:val="BodyText"/>
      </w:pPr>
      <w:r>
        <w:t xml:space="preserve">Asymptomatic cases were also identified. In a study, 24 asymptomatic</w:t>
      </w:r>
      <w:r>
        <w:t xml:space="preserve"> </w:t>
      </w:r>
      <w:r>
        <w:t xml:space="preserve">cases were evaluated. Approximately 21% developed symptoms such as</w:t>
      </w:r>
      <w:r>
        <w:t xml:space="preserve"> </w:t>
      </w:r>
      <w:r>
        <w:t xml:space="preserve">fever, cough, and fatigue during hospitalization, and at least 21% had</w:t>
      </w:r>
      <w:r>
        <w:t xml:space="preserve"> </w:t>
      </w:r>
      <w:r>
        <w:t xml:space="preserve">complications in the lungs (Hu et al., 2020). In another study, the</w:t>
      </w:r>
      <w:r>
        <w:t xml:space="preserve"> </w:t>
      </w:r>
      <w:r>
        <w:t xml:space="preserve">COVID-19 proportion of asymptomatic cases reached 32%, being higher</w:t>
      </w:r>
      <w:r>
        <w:t xml:space="preserve"> </w:t>
      </w:r>
      <w:r>
        <w:t xml:space="preserve">than measles (8%), and lower than polio (90-95%) (Mizumoto et al.,</w:t>
      </w:r>
      <w:r>
        <w:t xml:space="preserve"> </w:t>
      </w:r>
      <w:r>
        <w:t xml:space="preserve">2020). The information on asymptomatic cases can help COVID-19 infection</w:t>
      </w:r>
      <w:r>
        <w:t xml:space="preserve"> </w:t>
      </w:r>
      <w:r>
        <w:t xml:space="preserve">control and prevent a second outbreak.</w:t>
      </w:r>
    </w:p>
    <w:p>
      <w:pPr>
        <w:pStyle w:val="BodyText"/>
      </w:pPr>
      <w:r>
        <w:rPr>
          <w:i/>
        </w:rPr>
        <w:t xml:space="preserve">Health complications</w:t>
      </w:r>
    </w:p>
    <w:p>
      <w:pPr>
        <w:pStyle w:val="BodyText"/>
      </w:pPr>
      <w:r>
        <w:t xml:space="preserve">COVID-19 is an acute respiratory syndrome that can progress to</w:t>
      </w:r>
      <w:r>
        <w:t xml:space="preserve"> </w:t>
      </w:r>
      <w:r>
        <w:t xml:space="preserve">pneumonia. Clinical evidence of this complication was performed by chest</w:t>
      </w:r>
      <w:r>
        <w:t xml:space="preserve"> </w:t>
      </w:r>
      <w:r>
        <w:t xml:space="preserve">computed tomography (CT), which identified bilateral abnormalities,</w:t>
      </w:r>
      <w:r>
        <w:t xml:space="preserve"> </w:t>
      </w:r>
      <w:r>
        <w:t xml:space="preserve">peripheral (showing air bronchograms), ill-defined, and ground-glass</w:t>
      </w:r>
      <w:r>
        <w:t xml:space="preserve"> </w:t>
      </w:r>
      <w:r>
        <w:t xml:space="preserve">opacification(Bernheim et al., 2020; Pan et al., 2020). These</w:t>
      </w:r>
      <w:r>
        <w:t xml:space="preserve"> </w:t>
      </w:r>
      <w:r>
        <w:t xml:space="preserve">abnormalities predominantly involved the lower lobes of the right lung</w:t>
      </w:r>
      <w:r>
        <w:t xml:space="preserve"> </w:t>
      </w:r>
      <w:r>
        <w:t xml:space="preserve">(Shi et al., 2020; Wan et al., 2020). The multifocal peripheral</w:t>
      </w:r>
      <w:r>
        <w:t xml:space="preserve"> </w:t>
      </w:r>
      <w:r>
        <w:t xml:space="preserve">ground-glass image pattern and mixed opacity prevalent in the lower lung</w:t>
      </w:r>
      <w:r>
        <w:t xml:space="preserve"> </w:t>
      </w:r>
      <w:r>
        <w:t xml:space="preserve">can be seen in the first week of the disease, although many infected</w:t>
      </w:r>
      <w:r>
        <w:t xml:space="preserve"> </w:t>
      </w:r>
      <w:r>
        <w:t xml:space="preserve">people do not have these complications previously (Yang et al., 2020).</w:t>
      </w:r>
      <w:r>
        <w:t xml:space="preserve"> </w:t>
      </w:r>
      <w:r>
        <w:t xml:space="preserve">Furthermore, patients may have multiple lobe involvement, interlobular</w:t>
      </w:r>
      <w:r>
        <w:t xml:space="preserve"> </w:t>
      </w:r>
      <w:r>
        <w:t xml:space="preserve">septal thickening (Duan et al., 2020), unilobar inverted halo (Yoon et</w:t>
      </w:r>
      <w:r>
        <w:t xml:space="preserve"> </w:t>
      </w:r>
      <w:r>
        <w:t xml:space="preserve">al., 2020), traction bronchiectasis, and architectural distortion (Zhao</w:t>
      </w:r>
      <w:r>
        <w:t xml:space="preserve"> </w:t>
      </w:r>
      <w:r>
        <w:t xml:space="preserve">et al., 2020). The diagnosed lesions included irregular lesions, large</w:t>
      </w:r>
      <w:r>
        <w:t xml:space="preserve"> </w:t>
      </w:r>
      <w:r>
        <w:t xml:space="preserve">confluent, and small nodular lesions (Yoon et al., 2020), being the</w:t>
      </w:r>
      <w:r>
        <w:t xml:space="preserve"> </w:t>
      </w:r>
      <w:r>
        <w:t xml:space="preserve">diffuse or irregular shape, with ground-glass opacity consolidation,</w:t>
      </w:r>
      <w:r>
        <w:t xml:space="preserve"> </w:t>
      </w:r>
      <w:r>
        <w:t xml:space="preserve">observed between 1 and 3 weeks from disease onset (Shi et al., 2020;</w:t>
      </w:r>
      <w:r>
        <w:t xml:space="preserve"> </w:t>
      </w:r>
      <w:r>
        <w:t xml:space="preserve">Yang et al., 2020). Irregular lesions were identified mainly in the</w:t>
      </w:r>
      <w:r>
        <w:t xml:space="preserve"> </w:t>
      </w:r>
      <w:r>
        <w:t xml:space="preserve">lower lobes and along the pleura, while nodular lesions were distributed</w:t>
      </w:r>
      <w:r>
        <w:t xml:space="preserve"> </w:t>
      </w:r>
      <w:r>
        <w:t xml:space="preserve">in the white-vascular bundle forms (Yoon et al., 2020). These anomalies</w:t>
      </w:r>
      <w:r>
        <w:t xml:space="preserve"> </w:t>
      </w:r>
      <w:r>
        <w:t xml:space="preserve">have also been identified in asymptomatic patients, thus being</w:t>
      </w:r>
      <w:r>
        <w:t xml:space="preserve"> </w:t>
      </w:r>
      <w:r>
        <w:t xml:space="preserve">additional evidence to the laboratory results for an early COVID-19</w:t>
      </w:r>
      <w:r>
        <w:t xml:space="preserve"> </w:t>
      </w:r>
      <w:r>
        <w:t xml:space="preserve">diagnosis (Shi et al., 2020). Chest CT showed a low rate of COVID-19</w:t>
      </w:r>
      <w:r>
        <w:t xml:space="preserve"> </w:t>
      </w:r>
      <w:r>
        <w:t xml:space="preserve">misdiagnosis, being, therefore, an option for a rapid diagnosis of the</w:t>
      </w:r>
      <w:r>
        <w:t xml:space="preserve"> </w:t>
      </w:r>
      <w:r>
        <w:t xml:space="preserve">disease, although it is limited in the identification of the virus type</w:t>
      </w:r>
      <w:r>
        <w:t xml:space="preserve"> </w:t>
      </w:r>
      <w:r>
        <w:t xml:space="preserve">responsible for pulmonary complications.(Li and Xia, 2020) Only in May</w:t>
      </w:r>
      <w:r>
        <w:t xml:space="preserve"> </w:t>
      </w:r>
      <w:r>
        <w:t xml:space="preserve">2020, at least 80% of papers reported studies about other pulmonary</w:t>
      </w:r>
      <w:r>
        <w:t xml:space="preserve"> </w:t>
      </w:r>
      <w:r>
        <w:t xml:space="preserve">complications caused by COVID-19 (Fig. 4D).</w:t>
      </w:r>
    </w:p>
    <w:p>
      <w:pPr>
        <w:pStyle w:val="BodyText"/>
      </w:pPr>
      <w:r>
        <w:t xml:space="preserve">The COVID-19 patients have also shown a decrease in blood oxygen</w:t>
      </w:r>
      <w:r>
        <w:t xml:space="preserve"> </w:t>
      </w:r>
      <w:r>
        <w:t xml:space="preserve">saturation (hypoxemia), a reduced white blood cell count (leukopenia),</w:t>
      </w:r>
      <w:r>
        <w:t xml:space="preserve"> </w:t>
      </w:r>
      <w:r>
        <w:t xml:space="preserve">with specific reduction in lymphocytes (lymphopenia), and changes in</w:t>
      </w:r>
      <w:r>
        <w:t xml:space="preserve"> </w:t>
      </w:r>
      <w:r>
        <w:t xml:space="preserve">C-reactive protein (Yang et al., 2020). Many patients had higher levels</w:t>
      </w:r>
      <w:r>
        <w:t xml:space="preserve"> </w:t>
      </w:r>
      <w:r>
        <w:t xml:space="preserve">of Pt, APTT (activated partial thromboplastin time), d-dimer, lactate</w:t>
      </w:r>
      <w:r>
        <w:t xml:space="preserve"> </w:t>
      </w:r>
      <w:r>
        <w:t xml:space="preserve">dehydrogenase, PCT (procalcitonin), ALB (albumin), and aspartate</w:t>
      </w:r>
      <w:r>
        <w:t xml:space="preserve"> </w:t>
      </w:r>
      <w:r>
        <w:t xml:space="preserve">aminotransferase (Wan et al., 2020)</w:t>
      </w:r>
      <w:r>
        <w:rPr>
          <w:vertAlign w:val="superscript"/>
        </w:rPr>
        <w:t xml:space="preserve">,</w:t>
      </w:r>
      <w:r>
        <w:t xml:space="preserve">(Thachil et al.,</w:t>
      </w:r>
      <w:r>
        <w:t xml:space="preserve"> </w:t>
      </w:r>
      <w:r>
        <w:t xml:space="preserve">2020). Patients with previous lung tumors showed edema, exudate, focal</w:t>
      </w:r>
      <w:r>
        <w:t xml:space="preserve"> </w:t>
      </w:r>
      <w:r>
        <w:t xml:space="preserve">reactive pneumocyte hyperplasia with irregular inflammatory cell</w:t>
      </w:r>
      <w:r>
        <w:t xml:space="preserve"> </w:t>
      </w:r>
      <w:r>
        <w:t xml:space="preserve">infiltration, and multinucleated giant cells in the initial phase of</w:t>
      </w:r>
      <w:r>
        <w:t xml:space="preserve"> </w:t>
      </w:r>
      <w:r>
        <w:t xml:space="preserve">COVID-19, despite hyaline membranes were not prominent (Sufang Tian et</w:t>
      </w:r>
      <w:r>
        <w:t xml:space="preserve"> </w:t>
      </w:r>
      <w:r>
        <w:t xml:space="preserve">al., 2020).</w:t>
      </w:r>
    </w:p>
    <w:p>
      <w:pPr>
        <w:pStyle w:val="BodyText"/>
      </w:pPr>
      <w:r>
        <w:t xml:space="preserve">Psychosomatic issues such as anxiety, stress, and depression during the</w:t>
      </w:r>
      <w:r>
        <w:t xml:space="preserve"> </w:t>
      </w:r>
      <w:r>
        <w:t xml:space="preserve">COVID-19 pandemic were observed, especially in March and April 2020 in</w:t>
      </w:r>
      <w:r>
        <w:t xml:space="preserve"> </w:t>
      </w:r>
      <w:r>
        <w:t xml:space="preserve">at least 10% of cited papers. An online survey with more than 1,200</w:t>
      </w:r>
      <w:r>
        <w:t xml:space="preserve"> </w:t>
      </w:r>
      <w:r>
        <w:t xml:space="preserve">people was conducted in 194 Chinese cities. More than half of the</w:t>
      </w:r>
      <w:r>
        <w:t xml:space="preserve"> </w:t>
      </w:r>
      <w:r>
        <w:t xml:space="preserve">interviewees reported some moderate to severe psychological impact,</w:t>
      </w:r>
      <w:r>
        <w:t xml:space="preserve"> </w:t>
      </w:r>
      <w:r>
        <w:t xml:space="preserve">being 16.5% depressive symptoms, approximately 29% anxiety, and just</w:t>
      </w:r>
      <w:r>
        <w:t xml:space="preserve"> </w:t>
      </w:r>
      <w:r>
        <w:t xml:space="preserve">over 8% some stress. The survey also found that just over 75% of</w:t>
      </w:r>
      <w:r>
        <w:t xml:space="preserve"> </w:t>
      </w:r>
      <w:r>
        <w:t xml:space="preserve">respondents had concerns about the contamination of family members. The</w:t>
      </w:r>
      <w:r>
        <w:t xml:space="preserve"> </w:t>
      </w:r>
      <w:r>
        <w:t xml:space="preserve">most severe levels of mental health complications have been identified</w:t>
      </w:r>
      <w:r>
        <w:t xml:space="preserve"> </w:t>
      </w:r>
      <w:r>
        <w:t xml:space="preserve">among women, especially students (Wang et al., 2020).</w:t>
      </w:r>
    </w:p>
    <w:p>
      <w:pPr>
        <w:pStyle w:val="BodyText"/>
      </w:pPr>
      <w:r>
        <w:rPr>
          <w:i/>
        </w:rPr>
        <w:t xml:space="preserve">Risk factors</w:t>
      </w:r>
    </w:p>
    <w:p>
      <w:pPr>
        <w:pStyle w:val="BodyText"/>
      </w:pPr>
      <w:r>
        <w:t xml:space="preserve">The main risk factors for COVID-19 involved age, gender, and comorbidity</w:t>
      </w:r>
      <w:r>
        <w:t xml:space="preserve"> </w:t>
      </w:r>
      <w:r>
        <w:t xml:space="preserve">such as hypertension, diabetes, heart disease, and cancer (Fig. 4E). Age</w:t>
      </w:r>
      <w:r>
        <w:t xml:space="preserve"> </w:t>
      </w:r>
      <w:r>
        <w:t xml:space="preserve">was considered the main risk factor by the scientific community, since</w:t>
      </w:r>
      <w:r>
        <w:t xml:space="preserve"> </w:t>
      </w:r>
      <w:r>
        <w:t xml:space="preserve">the advanced age increased the chances of hospital deaths by a ratio of</w:t>
      </w:r>
      <w:r>
        <w:t xml:space="preserve"> </w:t>
      </w:r>
      <w:r>
        <w:t xml:space="preserve">1:10 (Zhou et al., 2020). The average age was 63-64 years for the most</w:t>
      </w:r>
      <w:r>
        <w:t xml:space="preserve"> </w:t>
      </w:r>
      <w:r>
        <w:t xml:space="preserve">severe cases (Bhatraju et al., 2020)</w:t>
      </w:r>
      <w:r>
        <w:rPr>
          <w:vertAlign w:val="superscript"/>
        </w:rPr>
        <w:t xml:space="preserve">,</w:t>
      </w:r>
      <w:r>
        <w:t xml:space="preserve">(Wu et al.,</w:t>
      </w:r>
      <w:r>
        <w:t xml:space="preserve"> </w:t>
      </w:r>
      <w:r>
        <w:t xml:space="preserve">2020). Chinas and the United States have seen more severe cases in</w:t>
      </w:r>
      <w:r>
        <w:t xml:space="preserve"> </w:t>
      </w:r>
      <w:r>
        <w:t xml:space="preserve">people over the age of 65 (Bialek et al., 2020). The children with an</w:t>
      </w:r>
      <w:r>
        <w:t xml:space="preserve"> </w:t>
      </w:r>
      <w:r>
        <w:t xml:space="preserve">average age of 8 years presented mild to moderate symptoms or were</w:t>
      </w:r>
      <w:r>
        <w:t xml:space="preserve"> </w:t>
      </w:r>
      <w:r>
        <w:t xml:space="preserve">diagnosed as asymptomatic in most cases (Qiu et al., 2020). When</w:t>
      </w:r>
      <w:r>
        <w:t xml:space="preserve"> </w:t>
      </w:r>
      <w:r>
        <w:t xml:space="preserve">associated with the male gender, underlying comorbidities, and</w:t>
      </w:r>
      <w:r>
        <w:t xml:space="preserve"> </w:t>
      </w:r>
      <w:r>
        <w:t xml:space="preserve">progressive radiographic deterioration (Bhatraju et al.,</w:t>
      </w:r>
      <w:r>
        <w:t xml:space="preserve"> </w:t>
      </w:r>
      <w:r>
        <w:t xml:space="preserve">2020)</w:t>
      </w:r>
      <w:r>
        <w:rPr>
          <w:vertAlign w:val="superscript"/>
        </w:rPr>
        <w:t xml:space="preserve">,</w:t>
      </w:r>
      <w:r>
        <w:t xml:space="preserve">(Shi et al., 2020), the death probability was</w:t>
      </w:r>
      <w:r>
        <w:t xml:space="preserve"> </w:t>
      </w:r>
      <w:r>
        <w:t xml:space="preserve">even greater. Hypertension, diabetes, and coronary heart disease were</w:t>
      </w:r>
      <w:r>
        <w:t xml:space="preserve"> </w:t>
      </w:r>
      <w:r>
        <w:t xml:space="preserve">identified as comorbidities critical to COVID-19 (Wu et al., 2020; Zhou</w:t>
      </w:r>
      <w:r>
        <w:t xml:space="preserve"> </w:t>
      </w:r>
      <w:r>
        <w:t xml:space="preserve">et al., 2020). Obesity was also verified (Richardson et al., 2020).</w:t>
      </w:r>
      <w:r>
        <w:t xml:space="preserve"> </w:t>
      </w:r>
      <w:r>
        <w:t xml:space="preserve">Patients with acute kidney injury (AKI) had a higher risk of hospital</w:t>
      </w:r>
      <w:r>
        <w:t xml:space="preserve"> </w:t>
      </w:r>
      <w:r>
        <w:t xml:space="preserve">death (Cheng et al., 2020). Cancer was also assessed as an important</w:t>
      </w:r>
      <w:r>
        <w:t xml:space="preserve"> </w:t>
      </w:r>
      <w:r>
        <w:t xml:space="preserve">risk factor, whose clinical management requires structure, preparation,</w:t>
      </w:r>
      <w:r>
        <w:t xml:space="preserve"> </w:t>
      </w:r>
      <w:r>
        <w:t xml:space="preserve">and agility on the part of the oncology community (Ueda et al., 2020),</w:t>
      </w:r>
      <w:r>
        <w:t xml:space="preserve"> </w:t>
      </w:r>
      <w:r>
        <w:t xml:space="preserve">especially due to the immunocompromise of patients undergoing invasive</w:t>
      </w:r>
      <w:r>
        <w:t xml:space="preserve"> </w:t>
      </w:r>
      <w:r>
        <w:t xml:space="preserve">cancer treatment (Al‐Shamsi et al., 2020).</w:t>
      </w:r>
    </w:p>
    <w:p>
      <w:pPr>
        <w:pStyle w:val="BodyText"/>
      </w:pPr>
      <w:r>
        <w:rPr>
          <w:i/>
        </w:rPr>
        <w:t xml:space="preserve">Estimative</w:t>
      </w:r>
    </w:p>
    <w:p>
      <w:pPr>
        <w:pStyle w:val="BodyText"/>
      </w:pPr>
      <w:r>
        <w:t xml:space="preserve">The number of cases, mortality rate, and contact tracing (especially the</w:t>
      </w:r>
      <w:r>
        <w:t xml:space="preserve"> </w:t>
      </w:r>
      <w:r>
        <w:t xml:space="preserve">zero case) were estimated by some scientific studies since the beginning</w:t>
      </w:r>
      <w:r>
        <w:t xml:space="preserve"> </w:t>
      </w:r>
      <w:r>
        <w:t xml:space="preserve">of the COVID-19 pandemic (Fig. 4F). The increase of cases worldwide was</w:t>
      </w:r>
      <w:r>
        <w:t xml:space="preserve"> </w:t>
      </w:r>
      <w:r>
        <w:t xml:space="preserve">related to international travel and late social isolation established by</w:t>
      </w:r>
      <w:r>
        <w:t xml:space="preserve"> </w:t>
      </w:r>
      <w:r>
        <w:t xml:space="preserve">countries, leading to an immediate outbreak of COVID-19, as previously</w:t>
      </w:r>
      <w:r>
        <w:t xml:space="preserve"> </w:t>
      </w:r>
      <w:r>
        <w:t xml:space="preserve">seen in Italy and Spain, and now in the USA and Brazil. The mortality</w:t>
      </w:r>
      <w:r>
        <w:t xml:space="preserve"> </w:t>
      </w:r>
      <w:r>
        <w:t xml:space="preserve">rates in China and Italy became identical and equal to 2.3%, with a</w:t>
      </w:r>
      <w:r>
        <w:t xml:space="preserve"> </w:t>
      </w:r>
      <w:r>
        <w:t xml:space="preserve">predominance of elderly men. The failure to identify the Italian zero</w:t>
      </w:r>
      <w:r>
        <w:t xml:space="preserve"> </w:t>
      </w:r>
      <w:r>
        <w:t xml:space="preserve">case may have influenced that rate (Porcheddu et al., 2020). Travel ban</w:t>
      </w:r>
      <w:r>
        <w:t xml:space="preserve"> </w:t>
      </w:r>
      <w:r>
        <w:t xml:space="preserve">measures in Wuhan (China) contributed to the reduction of about 80% of</w:t>
      </w:r>
      <w:r>
        <w:t xml:space="preserve"> </w:t>
      </w:r>
      <w:r>
        <w:t xml:space="preserve">predicted imported cases in mid-February 2020, despite a predicted</w:t>
      </w:r>
      <w:r>
        <w:t xml:space="preserve"> </w:t>
      </w:r>
      <w:r>
        <w:t xml:space="preserve">disease progression delay only 3 to 5 days. Travel restrictions would</w:t>
      </w:r>
      <w:r>
        <w:t xml:space="preserve"> </w:t>
      </w:r>
      <w:r>
        <w:t xml:space="preserve">only effectively alter the COVID-19 progress if combined with a</w:t>
      </w:r>
      <w:r>
        <w:t xml:space="preserve"> </w:t>
      </w:r>
      <w:r>
        <w:t xml:space="preserve">reduction of at least 50% in the community transmissions (Chinazzi et</w:t>
      </w:r>
      <w:r>
        <w:t xml:space="preserve"> </w:t>
      </w:r>
      <w:r>
        <w:t xml:space="preserve">al., 2020). Travel restrictions were also beneficial in reducing the</w:t>
      </w:r>
      <w:r>
        <w:t xml:space="preserve"> </w:t>
      </w:r>
      <w:r>
        <w:t xml:space="preserve">average number of daily reproductions in Wuhan, which dropped from 2.35</w:t>
      </w:r>
      <w:r>
        <w:t xml:space="preserve"> </w:t>
      </w:r>
      <w:r>
        <w:t xml:space="preserve">to 1.05 a week after adopting these measures (Kucharski et al., 2020).</w:t>
      </w:r>
      <w:r>
        <w:t xml:space="preserve"> </w:t>
      </w:r>
      <w:r>
        <w:t xml:space="preserve">All estimates were made using the exponential growth rate from Chinese</w:t>
      </w:r>
      <w:r>
        <w:t xml:space="preserve"> </w:t>
      </w:r>
      <w:r>
        <w:t xml:space="preserve">exported cases for COVID-19, where the basic number of reproduction</w:t>
      </w:r>
      <w:r>
        <w:t xml:space="preserve"> </w:t>
      </w:r>
      <w:r>
        <w:t xml:space="preserve">(secondary transmission) and the mortality rate could be determined. The</w:t>
      </w:r>
      <w:r>
        <w:t xml:space="preserve"> </w:t>
      </w:r>
      <w:r>
        <w:t xml:space="preserve">COVID-19 pandemic was predicted from two scenarios: from a single case</w:t>
      </w:r>
      <w:r>
        <w:t xml:space="preserve"> </w:t>
      </w:r>
      <w:r>
        <w:t xml:space="preserve">and using the growth rate adjusted with other parameters. Mortality</w:t>
      </w:r>
      <w:r>
        <w:t xml:space="preserve"> </w:t>
      </w:r>
      <w:r>
        <w:t xml:space="preserve">rates ranged from 5.3% to 8.4%, while the number of secondary cases</w:t>
      </w:r>
      <w:r>
        <w:t xml:space="preserve"> </w:t>
      </w:r>
      <w:r>
        <w:t xml:space="preserve">ranged from 2.1 to 3.2 for the scenarios, respectively (Jung et al.,</w:t>
      </w:r>
      <w:r>
        <w:t xml:space="preserve"> </w:t>
      </w:r>
      <w:r>
        <w:t xml:space="preserve">2020).</w:t>
      </w:r>
    </w:p>
    <w:p>
      <w:pPr>
        <w:pStyle w:val="BodyText"/>
      </w:pPr>
      <w:r>
        <w:rPr>
          <w:b/>
        </w:rPr>
        <w:t xml:space="preserve">Treatment and Prevention</w:t>
      </w:r>
    </w:p>
    <w:p>
      <w:pPr>
        <w:pStyle w:val="BodyText"/>
      </w:pPr>
      <w:r>
        <w:t xml:space="preserve">Due to limitations in the immediate development of a vaccine against</w:t>
      </w:r>
      <w:r>
        <w:t xml:space="preserve"> </w:t>
      </w:r>
      <w:r>
        <w:t xml:space="preserve">SARS-CoV-2, the treatment of COVID-19 included strategies for</w:t>
      </w:r>
      <w:r>
        <w:t xml:space="preserve"> </w:t>
      </w:r>
      <w:r>
        <w:t xml:space="preserve">controlling the main symptoms and health complications caused by the</w:t>
      </w:r>
      <w:r>
        <w:t xml:space="preserve"> </w:t>
      </w:r>
      <w:r>
        <w:t xml:space="preserve">disease. The investigation of drugs used to fight other viruses has been</w:t>
      </w:r>
      <w:r>
        <w:t xml:space="preserve"> </w:t>
      </w:r>
      <w:r>
        <w:t xml:space="preserve">widely carried out. Alternatively, antibody transfusion and stem cell</w:t>
      </w:r>
      <w:r>
        <w:t xml:space="preserve"> </w:t>
      </w:r>
      <w:r>
        <w:t xml:space="preserve">transplantation have been evaluated in some studies (Fig. 3C).</w:t>
      </w:r>
    </w:p>
    <w:p>
      <w:pPr>
        <w:pStyle w:val="BodyText"/>
      </w:pPr>
      <w:r>
        <w:rPr>
          <w:i/>
        </w:rPr>
        <w:t xml:space="preserve">Medicines</w:t>
      </w:r>
    </w:p>
    <w:p>
      <w:pPr>
        <w:pStyle w:val="BodyText"/>
      </w:pPr>
      <w:r>
        <w:t xml:space="preserve">Several antiviral drugs have been investigated (Fig. 5A).</w:t>
      </w:r>
      <w:r>
        <w:t xml:space="preserve"> </w:t>
      </w:r>
      <w:r>
        <w:t xml:space="preserve">Lopinavir-ritonavir, used to treat HIV (human immunodeficiency virus),</w:t>
      </w:r>
      <w:r>
        <w:t xml:space="preserve"> </w:t>
      </w:r>
      <w:r>
        <w:t xml:space="preserve">was used to treat COVID-19, since it had previous results in vitro and</w:t>
      </w:r>
      <w:r>
        <w:t xml:space="preserve"> </w:t>
      </w:r>
      <w:r>
        <w:t xml:space="preserve">clinical studies against SARS-CoV. It was prescribed twice a day for 14</w:t>
      </w:r>
      <w:r>
        <w:t xml:space="preserve"> </w:t>
      </w:r>
      <w:r>
        <w:t xml:space="preserve">days to infected adult patients and the results were compared to the</w:t>
      </w:r>
      <w:r>
        <w:t xml:space="preserve"> </w:t>
      </w:r>
      <w:r>
        <w:t xml:space="preserve">standard COVID-19 treatment. There was no improvement in patients who</w:t>
      </w:r>
      <w:r>
        <w:t xml:space="preserve"> </w:t>
      </w:r>
      <w:r>
        <w:t xml:space="preserve">used lopinavir-ritonavir (Cao et al., 2020). However, the first case of</w:t>
      </w:r>
      <w:r>
        <w:t xml:space="preserve"> </w:t>
      </w:r>
      <w:r>
        <w:t xml:space="preserve">COVID-19 in Korea was treated with lopinavir-ritonavir, which</w:t>
      </w:r>
      <w:r>
        <w:t xml:space="preserve"> </w:t>
      </w:r>
      <w:r>
        <w:t xml:space="preserve">significantly reduced the viral β-coronavirus loads (Lim et al., 2020).</w:t>
      </w:r>
    </w:p>
    <w:p>
      <w:pPr>
        <w:pStyle w:val="BodyText"/>
      </w:pPr>
      <w:r>
        <w:t xml:space="preserve">Nucleotide inhibitors such as Anti-HCV, used to fight hepatitis C by</w:t>
      </w:r>
      <w:r>
        <w:t xml:space="preserve"> </w:t>
      </w:r>
      <w:r>
        <w:t xml:space="preserve">inhibiting RNA polymerase (Elfiky, 2020), and inhibitors of the</w:t>
      </w:r>
      <w:r>
        <w:t xml:space="preserve"> </w:t>
      </w:r>
      <w:r>
        <w:t xml:space="preserve">Renin-Angiotensin-Aldosterone System (RAAS), considered vasoactive</w:t>
      </w:r>
      <w:r>
        <w:t xml:space="preserve"> </w:t>
      </w:r>
      <w:r>
        <w:t xml:space="preserve">peptides (Vaduganathan et al., 2020) were also investigated. Examples of</w:t>
      </w:r>
      <w:r>
        <w:t xml:space="preserve"> </w:t>
      </w:r>
      <w:r>
        <w:t xml:space="preserve">anti-polymerase drugs with positive results for the COVID-19 treatment</w:t>
      </w:r>
      <w:r>
        <w:t xml:space="preserve"> </w:t>
      </w:r>
      <w:r>
        <w:t xml:space="preserve">were sofosbuvir, IDX-184, ribavirin, and Remdesivir (Elfiky,</w:t>
      </w:r>
      <w:r>
        <w:t xml:space="preserve"> </w:t>
      </w:r>
      <w:r>
        <w:t xml:space="preserve">2020)</w:t>
      </w:r>
      <w:r>
        <w:rPr>
          <w:vertAlign w:val="superscript"/>
        </w:rPr>
        <w:t xml:space="preserve">,</w:t>
      </w:r>
      <w:r>
        <w:t xml:space="preserve">(Grein et al., 2020). The RAAS inhibitors have</w:t>
      </w:r>
      <w:r>
        <w:t xml:space="preserve"> </w:t>
      </w:r>
      <w:r>
        <w:t xml:space="preserve">been indicated in severe clinical cases, especially in patients with</w:t>
      </w:r>
      <w:r>
        <w:t xml:space="preserve"> </w:t>
      </w:r>
      <w:r>
        <w:t xml:space="preserve">comorbidities related to heart disease. However, the real activity of</w:t>
      </w:r>
      <w:r>
        <w:t xml:space="preserve"> </w:t>
      </w:r>
      <w:r>
        <w:t xml:space="preserve">these inhibitors in combating COVID-19 has been researched. The</w:t>
      </w:r>
      <w:r>
        <w:t xml:space="preserve"> </w:t>
      </w:r>
      <w:r>
        <w:t xml:space="preserve">angiotensin-converting enzyme 2 (ACE2) is considered responsible for</w:t>
      </w:r>
      <w:r>
        <w:t xml:space="preserve"> </w:t>
      </w:r>
      <w:r>
        <w:t xml:space="preserve">coronavirus infection, since it functions as a receptor. Studies suggest</w:t>
      </w:r>
      <w:r>
        <w:t xml:space="preserve"> </w:t>
      </w:r>
      <w:r>
        <w:t xml:space="preserve">that RAAS inhibition favors ACE2 overexpression, causing viral activity</w:t>
      </w:r>
      <w:r>
        <w:t xml:space="preserve"> </w:t>
      </w:r>
      <w:r>
        <w:t xml:space="preserve">to increase (Vaduganathan et al., 2020). Therefore, further studies</w:t>
      </w:r>
      <w:r>
        <w:t xml:space="preserve"> </w:t>
      </w:r>
      <w:r>
        <w:t xml:space="preserve">involving RAAS inhibitors must be carried out to verify their real</w:t>
      </w:r>
      <w:r>
        <w:t xml:space="preserve"> </w:t>
      </w:r>
      <w:r>
        <w:t xml:space="preserve">benefits against COVID-19.</w:t>
      </w:r>
    </w:p>
    <w:p>
      <w:pPr>
        <w:pStyle w:val="BodyText"/>
      </w:pPr>
      <w:r>
        <w:t xml:space="preserve">Other important drugs investigated were chloroquine and</w:t>
      </w:r>
      <w:r>
        <w:t xml:space="preserve"> </w:t>
      </w:r>
      <w:r>
        <w:t xml:space="preserve">hydroxychloroquine, which have generated a lot of discussion in the</w:t>
      </w:r>
      <w:r>
        <w:t xml:space="preserve"> </w:t>
      </w:r>
      <w:r>
        <w:t xml:space="preserve">scientific community, although about 20 clinical studies have been</w:t>
      </w:r>
      <w:r>
        <w:t xml:space="preserve"> </w:t>
      </w:r>
      <w:r>
        <w:t xml:space="preserve">carried out in several Chinese hospitals with different coronaviruses,</w:t>
      </w:r>
      <w:r>
        <w:t xml:space="preserve"> </w:t>
      </w:r>
      <w:r>
        <w:t xml:space="preserve">including SARS-CoV and SAR-CoV-2. These drugs have been used effectively</w:t>
      </w:r>
      <w:r>
        <w:t xml:space="preserve"> </w:t>
      </w:r>
      <w:r>
        <w:t xml:space="preserve">to combat malaria, Q fever, and Whipple’s disease, and in a recent</w:t>
      </w:r>
      <w:r>
        <w:t xml:space="preserve"> </w:t>
      </w:r>
      <w:r>
        <w:t xml:space="preserve">study, the chloroquine helped to reduce the pneumonia, duration of</w:t>
      </w:r>
      <w:r>
        <w:t xml:space="preserve"> </w:t>
      </w:r>
      <w:r>
        <w:t xml:space="preserve">symptoms and viral shedding of COVID-19, without causing serious side</w:t>
      </w:r>
      <w:r>
        <w:t xml:space="preserve"> </w:t>
      </w:r>
      <w:r>
        <w:t xml:space="preserve">effects (Colson et al., 2020). Investigations of drugs such as</w:t>
      </w:r>
      <w:r>
        <w:t xml:space="preserve"> </w:t>
      </w:r>
      <w:r>
        <w:t xml:space="preserve">methylprednisolone, moxifloxacin, interferon alfa-2b physicochemical</w:t>
      </w:r>
      <w:r>
        <w:t xml:space="preserve"> </w:t>
      </w:r>
      <w:r>
        <w:t xml:space="preserve">inhalation, meropenem (Xu et al., 2020)</w:t>
      </w:r>
      <w:r>
        <w:rPr>
          <w:vertAlign w:val="superscript"/>
        </w:rPr>
        <w:t xml:space="preserve">,</w:t>
      </w:r>
      <w:r>
        <w:t xml:space="preserve">(Zhu et al.,</w:t>
      </w:r>
      <w:r>
        <w:t xml:space="preserve"> </w:t>
      </w:r>
      <w:r>
        <w:t xml:space="preserve">2020), Kaletra, corticoids (Wan et al., 2020), Arbidol and IFN-α (Dong</w:t>
      </w:r>
      <w:r>
        <w:t xml:space="preserve"> </w:t>
      </w:r>
      <w:r>
        <w:t xml:space="preserve">et al., 2020), and the COVID-19 therapies (Wan et al., 2020) have also</w:t>
      </w:r>
      <w:r>
        <w:t xml:space="preserve"> </w:t>
      </w:r>
      <w:r>
        <w:t xml:space="preserve">been reported.</w:t>
      </w:r>
    </w:p>
    <w:p>
      <w:pPr>
        <w:pStyle w:val="BodyText"/>
      </w:pPr>
      <w:r>
        <w:rPr>
          <w:i/>
        </w:rPr>
        <w:t xml:space="preserve">Vaccines</w:t>
      </w:r>
    </w:p>
    <w:p>
      <w:pPr>
        <w:pStyle w:val="BodyText"/>
      </w:pPr>
      <w:r>
        <w:t xml:space="preserve">Although different research groups and experts are in a real scientific</w:t>
      </w:r>
      <w:r>
        <w:t xml:space="preserve"> </w:t>
      </w:r>
      <w:r>
        <w:t xml:space="preserve">race for the development of a vaccine against the novel coronavirus,</w:t>
      </w:r>
      <w:r>
        <w:t xml:space="preserve"> </w:t>
      </w:r>
      <w:r>
        <w:t xml:space="preserve">according to WHO it will take at least 18 months for a vaccine to be</w:t>
      </w:r>
      <w:r>
        <w:t xml:space="preserve"> </w:t>
      </w:r>
      <w:r>
        <w:t xml:space="preserve">completed (Jiang et al., 2020). Therefore, currently, treatments only</w:t>
      </w:r>
      <w:r>
        <w:t xml:space="preserve"> </w:t>
      </w:r>
      <w:r>
        <w:t xml:space="preserve">combat symptoms, acting as anti-inflammatory and antiviral drugs.</w:t>
      </w:r>
      <w:r>
        <w:t xml:space="preserve"> </w:t>
      </w:r>
      <w:r>
        <w:t xml:space="preserve">Experience with immunological studies of SARS-CoV and its similarity to</w:t>
      </w:r>
      <w:r>
        <w:t xml:space="preserve"> </w:t>
      </w:r>
      <w:r>
        <w:t xml:space="preserve">SARS-CoV-2 allowed the tracking and identification of B and T cell</w:t>
      </w:r>
      <w:r>
        <w:t xml:space="preserve"> </w:t>
      </w:r>
      <w:r>
        <w:t xml:space="preserve">epitopes in SARS-CoV immunogenic structural proteins also identified in</w:t>
      </w:r>
      <w:r>
        <w:t xml:space="preserve"> </w:t>
      </w:r>
      <w:r>
        <w:t xml:space="preserve">SARS-CoV-2. As no epitope mutations were observed in more than 120</w:t>
      </w:r>
      <w:r>
        <w:t xml:space="preserve"> </w:t>
      </w:r>
      <w:r>
        <w:t xml:space="preserve">SARS-CoV-2 sequences, they were considered useful in research for a new</w:t>
      </w:r>
      <w:r>
        <w:t xml:space="preserve"> </w:t>
      </w:r>
      <w:r>
        <w:t xml:space="preserve">vaccine, with wide and global coverage (Ahmed et al., 2020).</w:t>
      </w:r>
    </w:p>
    <w:p>
      <w:pPr>
        <w:pStyle w:val="BodyText"/>
      </w:pPr>
      <w:r>
        <w:rPr>
          <w:i/>
        </w:rPr>
        <w:t xml:space="preserve">Antibodies and Stem Cells</w:t>
      </w:r>
    </w:p>
    <w:p>
      <w:pPr>
        <w:pStyle w:val="BodyText"/>
      </w:pPr>
      <w:r>
        <w:t xml:space="preserve">Alternative COVID-19 treatments have included the convalescent plasma</w:t>
      </w:r>
      <w:r>
        <w:t xml:space="preserve"> </w:t>
      </w:r>
      <w:r>
        <w:t xml:space="preserve">(CP) transfusion from recently cured donors containing neutralizing</w:t>
      </w:r>
      <w:r>
        <w:t xml:space="preserve"> </w:t>
      </w:r>
      <w:r>
        <w:t xml:space="preserve">antibodies (Duan et al., 2020), and the mesenchymal stem cells (CTMs)</w:t>
      </w:r>
      <w:r>
        <w:t xml:space="preserve"> </w:t>
      </w:r>
      <w:r>
        <w:t xml:space="preserve">transplantation (Leng et al., 2020). CP therapy was considered efficient</w:t>
      </w:r>
      <w:r>
        <w:t xml:space="preserve"> </w:t>
      </w:r>
      <w:r>
        <w:t xml:space="preserve">in severe COVID-19 cases, contributing to the viremia disappearance in 7</w:t>
      </w:r>
      <w:r>
        <w:t xml:space="preserve"> </w:t>
      </w:r>
      <w:r>
        <w:t xml:space="preserve">days after the transfusion. An increase in the number of lymphocytes and</w:t>
      </w:r>
      <w:r>
        <w:t xml:space="preserve"> </w:t>
      </w:r>
      <w:r>
        <w:t xml:space="preserve">a reduction in C-reactive protein was seen within days, and the lung</w:t>
      </w:r>
      <w:r>
        <w:t xml:space="preserve"> </w:t>
      </w:r>
      <w:r>
        <w:t xml:space="preserve">injuries were absorbed within 7 days (Duan et al., 2020). CP therapy</w:t>
      </w:r>
      <w:r>
        <w:t xml:space="preserve"> </w:t>
      </w:r>
      <w:r>
        <w:t xml:space="preserve">also helped stabilize body temperature and remove mechanical</w:t>
      </w:r>
      <w:r>
        <w:t xml:space="preserve"> </w:t>
      </w:r>
      <w:r>
        <w:t xml:space="preserve">ventilators, which happened 3 weeks after the transfusion (Shen et al.,</w:t>
      </w:r>
      <w:r>
        <w:t xml:space="preserve"> </w:t>
      </w:r>
      <w:r>
        <w:t xml:space="preserve">2020). In turn, the transplantation of MSCs had an immunomodulatory</w:t>
      </w:r>
      <w:r>
        <w:t xml:space="preserve"> </w:t>
      </w:r>
      <w:r>
        <w:t xml:space="preserve">function, which was responsible for an improvement in the pulmonary</w:t>
      </w:r>
      <w:r>
        <w:t xml:space="preserve"> </w:t>
      </w:r>
      <w:r>
        <w:t xml:space="preserve">functions of the patients 2 days after the transplant, a hospital</w:t>
      </w:r>
      <w:r>
        <w:t xml:space="preserve"> </w:t>
      </w:r>
      <w:r>
        <w:t xml:space="preserve">discharge after 10 days, and a general clinical improvement after 14</w:t>
      </w:r>
      <w:r>
        <w:t xml:space="preserve"> </w:t>
      </w:r>
      <w:r>
        <w:t xml:space="preserve">days. The MSCs transplantation contributed to the increase in</w:t>
      </w:r>
      <w:r>
        <w:t xml:space="preserve"> </w:t>
      </w:r>
      <w:r>
        <w:t xml:space="preserve">lymphocytes, a decrease in C-reactive protein, and the disappearance of</w:t>
      </w:r>
      <w:r>
        <w:t xml:space="preserve"> </w:t>
      </w:r>
      <w:r>
        <w:t xml:space="preserve">immune cells secreting overactive cytokines (Shen et al., 2020).</w:t>
      </w:r>
      <w:r>
        <w:t xml:space="preserve"> </w:t>
      </w:r>
      <w:r>
        <w:t xml:space="preserve">Although a limited number of people have undergone both treatments, they</w:t>
      </w:r>
      <w:r>
        <w:t xml:space="preserve"> </w:t>
      </w:r>
      <w:r>
        <w:t xml:space="preserve">are promising in combating the novel coronavirus and of potential</w:t>
      </w:r>
      <w:r>
        <w:t xml:space="preserve"> </w:t>
      </w:r>
      <w:r>
        <w:t xml:space="preserve">interest in future investigations.</w:t>
      </w:r>
    </w:p>
    <w:p>
      <w:pPr>
        <w:pStyle w:val="BodyText"/>
      </w:pPr>
      <w:r>
        <w:rPr>
          <w:b/>
        </w:rPr>
        <w:t xml:space="preserve">Management of COVID-19</w:t>
      </w:r>
    </w:p>
    <w:p>
      <w:pPr>
        <w:pStyle w:val="BodyText"/>
      </w:pPr>
      <w:r>
        <w:t xml:space="preserve">The management of COVID-19 involves control strategies ranging from the</w:t>
      </w:r>
      <w:r>
        <w:t xml:space="preserve"> </w:t>
      </w:r>
      <w:r>
        <w:t xml:space="preserve">special medical care and personal hygiene to the social isolation</w:t>
      </w:r>
      <w:r>
        <w:t xml:space="preserve"> </w:t>
      </w:r>
      <w:r>
        <w:t xml:space="preserve">measures. Furthermore, the clinical case determination and the disease</w:t>
      </w:r>
      <w:r>
        <w:t xml:space="preserve"> </w:t>
      </w:r>
      <w:r>
        <w:t xml:space="preserve">importation control, either between countries or between regions of the</w:t>
      </w:r>
      <w:r>
        <w:t xml:space="preserve"> </w:t>
      </w:r>
      <w:r>
        <w:t xml:space="preserve">same country, are necessary measures for the effective control of</w:t>
      </w:r>
      <w:r>
        <w:t xml:space="preserve"> </w:t>
      </w:r>
      <w:r>
        <w:t xml:space="preserve">COVID-19 (Fig. 3D).</w:t>
      </w:r>
    </w:p>
    <w:p>
      <w:pPr>
        <w:pStyle w:val="BodyText"/>
      </w:pPr>
      <w:r>
        <w:rPr>
          <w:i/>
        </w:rPr>
        <w:t xml:space="preserve">In the ICU</w:t>
      </w:r>
    </w:p>
    <w:p>
      <w:pPr>
        <w:pStyle w:val="BodyText"/>
      </w:pPr>
      <w:r>
        <w:t xml:space="preserve">The care for patients admitted to the ICU involves the adoption of</w:t>
      </w:r>
      <w:r>
        <w:t xml:space="preserve"> </w:t>
      </w:r>
      <w:r>
        <w:t xml:space="preserve">special medical measures and protocols, which can guarantee the safety</w:t>
      </w:r>
      <w:r>
        <w:t xml:space="preserve"> </w:t>
      </w:r>
      <w:r>
        <w:t xml:space="preserve">of health professionals and the well-being of patients. The main</w:t>
      </w:r>
      <w:r>
        <w:t xml:space="preserve"> </w:t>
      </w:r>
      <w:r>
        <w:t xml:space="preserve">procedures include the infection control (risks of SARS-CoV-2</w:t>
      </w:r>
      <w:r>
        <w:t xml:space="preserve"> </w:t>
      </w:r>
      <w:r>
        <w:t xml:space="preserve">transmission), laboratory tests, supportive care (continuous renal</w:t>
      </w:r>
      <w:r>
        <w:t xml:space="preserve"> </w:t>
      </w:r>
      <w:r>
        <w:t xml:space="preserve">replacement - CRRT, invasive mechanical ventilation (Richardson et al.,</w:t>
      </w:r>
      <w:r>
        <w:t xml:space="preserve"> </w:t>
      </w:r>
      <w:r>
        <w:t xml:space="preserve">2020), extracorporeal membrane oxygenation - ECMO (Jiang et al., 2020),</w:t>
      </w:r>
      <w:r>
        <w:t xml:space="preserve"> </w:t>
      </w:r>
      <w:r>
        <w:t xml:space="preserve">hemodynamic support (Alhazzani et al., 2020)), and COVID-19 therapy</w:t>
      </w:r>
      <w:r>
        <w:t xml:space="preserve"> </w:t>
      </w:r>
      <w:r>
        <w:t xml:space="preserve">(Alhazzani et al., 2020). Some procedures are considered specific and</w:t>
      </w:r>
      <w:r>
        <w:t xml:space="preserve"> </w:t>
      </w:r>
      <w:r>
        <w:t xml:space="preserve">necessary in patients with COVID-19 such as emergency tracheal</w:t>
      </w:r>
      <w:r>
        <w:t xml:space="preserve"> </w:t>
      </w:r>
      <w:r>
        <w:t xml:space="preserve">intubation, predicted or unexpected difficult tracheal intubation,</w:t>
      </w:r>
      <w:r>
        <w:t xml:space="preserve"> </w:t>
      </w:r>
      <w:r>
        <w:t xml:space="preserve">cardiac arrest, anesthetic care, and tracheal extubating (Cook et al.,</w:t>
      </w:r>
      <w:r>
        <w:t xml:space="preserve"> </w:t>
      </w:r>
      <w:r>
        <w:t xml:space="preserve">2020) (Fig. 5B).</w:t>
      </w:r>
    </w:p>
    <w:p>
      <w:pPr>
        <w:pStyle w:val="BodyText"/>
      </w:pPr>
      <w:r>
        <w:rPr>
          <w:i/>
        </w:rPr>
        <w:t xml:space="preserve">Social Isolation</w:t>
      </w:r>
    </w:p>
    <w:p>
      <w:pPr>
        <w:pStyle w:val="BodyText"/>
      </w:pPr>
      <w:r>
        <w:t xml:space="preserve">Social isolation is a measure used to contain viruses such as SARS and</w:t>
      </w:r>
      <w:r>
        <w:t xml:space="preserve"> </w:t>
      </w:r>
      <w:r>
        <w:t xml:space="preserve">COVID-19, by reduction of the disease peak and flattening the curve over</w:t>
      </w:r>
      <w:r>
        <w:t xml:space="preserve"> </w:t>
      </w:r>
      <w:r>
        <w:t xml:space="preserve">time, to ensure sufficient time for the government to implement public</w:t>
      </w:r>
      <w:r>
        <w:t xml:space="preserve"> </w:t>
      </w:r>
      <w:r>
        <w:t xml:space="preserve">measures of health care (Prem et al., 2020). The main measures of social</w:t>
      </w:r>
      <w:r>
        <w:t xml:space="preserve"> </w:t>
      </w:r>
      <w:r>
        <w:t xml:space="preserve">isolation included the closure of schools and workplaces non-essential</w:t>
      </w:r>
      <w:r>
        <w:t xml:space="preserve"> </w:t>
      </w:r>
      <w:r>
        <w:t xml:space="preserve">(non-food and non-health), and the reduced movement of people on the</w:t>
      </w:r>
      <w:r>
        <w:t xml:space="preserve"> </w:t>
      </w:r>
      <w:r>
        <w:t xml:space="preserve">streets (Prem et al., 2020). Countries that took a long time to</w:t>
      </w:r>
      <w:r>
        <w:t xml:space="preserve"> </w:t>
      </w:r>
      <w:r>
        <w:t xml:space="preserve">implement quarantine measures suffered the consequences of the</w:t>
      </w:r>
      <w:r>
        <w:t xml:space="preserve"> </w:t>
      </w:r>
      <w:r>
        <w:t xml:space="preserve">accelerated increase in cases of COVID-19 (Remuzzi and Remuzzi, 2020).</w:t>
      </w:r>
      <w:r>
        <w:t xml:space="preserve"> </w:t>
      </w:r>
      <w:r>
        <w:t xml:space="preserve">Although COVID-19 and SARS differ in terms of transmissibility,</w:t>
      </w:r>
      <w:r>
        <w:t xml:space="preserve"> </w:t>
      </w:r>
      <w:r>
        <w:t xml:space="preserve">infectious period, and disease spread, measures taken to control SARS</w:t>
      </w:r>
      <w:r>
        <w:t xml:space="preserve"> </w:t>
      </w:r>
      <w:r>
        <w:t xml:space="preserve">can help control COVID-19 such as syndromic surveillance, immediate</w:t>
      </w:r>
      <w:r>
        <w:t xml:space="preserve"> </w:t>
      </w:r>
      <w:r>
        <w:t xml:space="preserve">isolation of infected patients, and strict application of vertical</w:t>
      </w:r>
      <w:r>
        <w:t xml:space="preserve"> </w:t>
      </w:r>
      <w:r>
        <w:t xml:space="preserve">quarantine (lockdown) (Wilder-Smith et al., 2020). Mathematical models</w:t>
      </w:r>
      <w:r>
        <w:t xml:space="preserve"> </w:t>
      </w:r>
      <w:r>
        <w:t xml:space="preserve">considering social isolation and contact tracing were able to predict</w:t>
      </w:r>
      <w:r>
        <w:t xml:space="preserve"> </w:t>
      </w:r>
      <w:r>
        <w:t xml:space="preserve">the positive impacts on the new COVID-19 cases, thus contributing to the</w:t>
      </w:r>
      <w:r>
        <w:t xml:space="preserve"> </w:t>
      </w:r>
      <w:r>
        <w:t xml:space="preserve">outbreak control (Hellewell et al., 2020). The early relaxation of</w:t>
      </w:r>
      <w:r>
        <w:t xml:space="preserve"> </w:t>
      </w:r>
      <w:r>
        <w:t xml:space="preserve">social isolation can compromise the COVID-19 control. Therefore, it is</w:t>
      </w:r>
      <w:r>
        <w:t xml:space="preserve"> </w:t>
      </w:r>
      <w:r>
        <w:t xml:space="preserve">necessary to have a strict contact control between people and a policy</w:t>
      </w:r>
      <w:r>
        <w:t xml:space="preserve"> </w:t>
      </w:r>
      <w:r>
        <w:t xml:space="preserve">willing to implement measures of social distance until the disease</w:t>
      </w:r>
      <w:r>
        <w:t xml:space="preserve"> </w:t>
      </w:r>
      <w:r>
        <w:t xml:space="preserve">stabilizes and decreases (Prem et al., 2020).</w:t>
      </w:r>
    </w:p>
    <w:p>
      <w:pPr>
        <w:pStyle w:val="BodyText"/>
      </w:pPr>
      <w:r>
        <w:rPr>
          <w:i/>
        </w:rPr>
        <w:t xml:space="preserve">Prevention and Control Procedures</w:t>
      </w:r>
    </w:p>
    <w:p>
      <w:pPr>
        <w:pStyle w:val="BodyText"/>
      </w:pPr>
      <w:r>
        <w:t xml:space="preserve">Other COVID-19 prevention and control measures included personal hygiene</w:t>
      </w:r>
      <w:r>
        <w:t xml:space="preserve"> </w:t>
      </w:r>
      <w:r>
        <w:t xml:space="preserve">care such as the handwashing after direct contact with infected people</w:t>
      </w:r>
      <w:r>
        <w:t xml:space="preserve"> </w:t>
      </w:r>
      <w:r>
        <w:t xml:space="preserve">or with the environment, the distancing of wild and farm animals (Lai et</w:t>
      </w:r>
      <w:r>
        <w:t xml:space="preserve"> </w:t>
      </w:r>
      <w:r>
        <w:t xml:space="preserve">al., 2020), the use of alcohol 70%, and the use of masks in public</w:t>
      </w:r>
      <w:r>
        <w:t xml:space="preserve"> </w:t>
      </w:r>
      <w:r>
        <w:t xml:space="preserve">places. Cancer and dental medicine patients must be treated using</w:t>
      </w:r>
      <w:r>
        <w:t xml:space="preserve"> </w:t>
      </w:r>
      <w:r>
        <w:t xml:space="preserve">special protocols in order to reduce the contamination risk (Meng et</w:t>
      </w:r>
      <w:r>
        <w:t xml:space="preserve"> </w:t>
      </w:r>
      <w:r>
        <w:t xml:space="preserve">al., 2020). Access to information is crucial for the correct and</w:t>
      </w:r>
      <w:r>
        <w:t xml:space="preserve"> </w:t>
      </w:r>
      <w:r>
        <w:t xml:space="preserve">conscious procedure implementations to combat the novel coronavirus.</w:t>
      </w:r>
    </w:p>
    <w:p>
      <w:pPr>
        <w:pStyle w:val="BodyText"/>
      </w:pPr>
      <w:r>
        <w:rPr>
          <w:i/>
        </w:rPr>
        <w:t xml:space="preserve">Clinical tests</w:t>
      </w:r>
    </w:p>
    <w:p>
      <w:pPr>
        <w:pStyle w:val="BodyText"/>
      </w:pPr>
      <w:r>
        <w:t xml:space="preserve">The COVID-19 diagnoses were carried out by direct and indirect assays,</w:t>
      </w:r>
      <w:r>
        <w:t xml:space="preserve"> </w:t>
      </w:r>
      <w:r>
        <w:t xml:space="preserve">from the determining nucleic acids, immunohistochemical stains, and</w:t>
      </w:r>
      <w:r>
        <w:t xml:space="preserve"> </w:t>
      </w:r>
      <w:r>
        <w:t xml:space="preserve">image tests involving 18F-FDG PET/CT (Fig. 5C). The clinical test based</w:t>
      </w:r>
      <w:r>
        <w:t xml:space="preserve"> </w:t>
      </w:r>
      <w:r>
        <w:t xml:space="preserve">on viral nucleic acid was the main technique reported (Hu et al., 2020;</w:t>
      </w:r>
      <w:r>
        <w:t xml:space="preserve"> </w:t>
      </w:r>
      <w:r>
        <w:t xml:space="preserve">Sufang Tian et al., 2020; Xia et al., 2020). Immunohistochemical stains</w:t>
      </w:r>
      <w:r>
        <w:t xml:space="preserve"> </w:t>
      </w:r>
      <w:r>
        <w:t xml:space="preserve">are still under development (Sufang Tian et al., 2020), and the 18F-FDG</w:t>
      </w:r>
      <w:r>
        <w:t xml:space="preserve"> </w:t>
      </w:r>
      <w:r>
        <w:t xml:space="preserve">PET/CT test was able to identify the presence of COVID-19 in tested</w:t>
      </w:r>
      <w:r>
        <w:t xml:space="preserve"> </w:t>
      </w:r>
      <w:r>
        <w:t xml:space="preserve">positive patients. The 18F-FDG PET/CT teste consists of a hybrid</w:t>
      </w:r>
      <w:r>
        <w:t xml:space="preserve"> </w:t>
      </w:r>
      <w:r>
        <w:t xml:space="preserve">technique between positron emission tomography (PET) and conventional</w:t>
      </w:r>
      <w:r>
        <w:t xml:space="preserve"> </w:t>
      </w:r>
      <w:r>
        <w:t xml:space="preserve">computed tomography (CT), using the 18F-Fluordeoxiglicose (FDG), a</w:t>
      </w:r>
      <w:r>
        <w:t xml:space="preserve"> </w:t>
      </w:r>
      <w:r>
        <w:t xml:space="preserve">glucose analog, as a tracer. This technique allows obtaining metabolic</w:t>
      </w:r>
      <w:r>
        <w:t xml:space="preserve"> </w:t>
      </w:r>
      <w:r>
        <w:t xml:space="preserve">and anatomical informations. Tomography images helped to identify</w:t>
      </w:r>
      <w:r>
        <w:t xml:space="preserve"> </w:t>
      </w:r>
      <w:r>
        <w:t xml:space="preserve">ground-glass peripheral opacities, pulmonary consolidations in both lung</w:t>
      </w:r>
      <w:r>
        <w:t xml:space="preserve"> </w:t>
      </w:r>
      <w:r>
        <w:t xml:space="preserve">lobes, and lung lesions with lymph node involvement in patients with</w:t>
      </w:r>
      <w:r>
        <w:t xml:space="preserve"> </w:t>
      </w:r>
      <w:r>
        <w:t xml:space="preserve">COVID-19 (Qin et al., 2020).</w:t>
      </w:r>
    </w:p>
    <w:p>
      <w:pPr>
        <w:pStyle w:val="BodyText"/>
      </w:pPr>
      <w:r>
        <w:rPr>
          <w:i/>
        </w:rPr>
        <w:t xml:space="preserve">Importation</w:t>
      </w:r>
    </w:p>
    <w:p>
      <w:pPr>
        <w:pStyle w:val="BodyText"/>
      </w:pPr>
      <w:r>
        <w:t xml:space="preserve">An important study on vulnerability to COVID-19 in developing countries,</w:t>
      </w:r>
      <w:r>
        <w:t xml:space="preserve"> </w:t>
      </w:r>
      <w:r>
        <w:t xml:space="preserve">especially in Africa, was carried out. The COVID-19 importation was</w:t>
      </w:r>
      <w:r>
        <w:t xml:space="preserve"> </w:t>
      </w:r>
      <w:r>
        <w:t xml:space="preserve">related to the recipient country’s ability to respond to the outbreak.</w:t>
      </w:r>
      <w:r>
        <w:t xml:space="preserve"> </w:t>
      </w:r>
      <w:r>
        <w:t xml:space="preserve">Countries such as Egypt, Algeria, and South Africa presented a higher</w:t>
      </w:r>
      <w:r>
        <w:t xml:space="preserve"> </w:t>
      </w:r>
      <w:r>
        <w:t xml:space="preserve">importation risk of the novel coronavirus, but, a high capacity to</w:t>
      </w:r>
      <w:r>
        <w:t xml:space="preserve"> </w:t>
      </w:r>
      <w:r>
        <w:t xml:space="preserve">control the disease. Countries such as Ethiopia, Nigeria, Sudan, Angola,</w:t>
      </w:r>
      <w:r>
        <w:t xml:space="preserve"> </w:t>
      </w:r>
      <w:r>
        <w:t xml:space="preserve">Ghana, Tanzania, and Kenya with moderate risk showed high vulnerability</w:t>
      </w:r>
      <w:r>
        <w:t xml:space="preserve"> </w:t>
      </w:r>
      <w:r>
        <w:t xml:space="preserve">to control the outbreak. The same was verified for the provinces of</w:t>
      </w:r>
      <w:r>
        <w:t xml:space="preserve"> </w:t>
      </w:r>
      <w:r>
        <w:t xml:space="preserve">Guangdong, Fujian, and the Beijing city (Gilbert et al., 2020). This</w:t>
      </w:r>
      <w:r>
        <w:t xml:space="preserve"> </w:t>
      </w:r>
      <w:r>
        <w:t xml:space="preserve">study can be used as a reference to countries with limited preparedness</w:t>
      </w:r>
      <w:r>
        <w:t xml:space="preserve"> </w:t>
      </w:r>
      <w:r>
        <w:t xml:space="preserve">to deal with COVID-19, suggesting the adoption of intensified</w:t>
      </w:r>
      <w:r>
        <w:t xml:space="preserve"> </w:t>
      </w:r>
      <w:r>
        <w:t xml:space="preserve">surveillance and the resource allocation. These measures can also be</w:t>
      </w:r>
      <w:r>
        <w:t xml:space="preserve"> </w:t>
      </w:r>
      <w:r>
        <w:t xml:space="preserve">used by non-African countries.</w:t>
      </w:r>
    </w:p>
    <w:p>
      <w:pPr>
        <w:pStyle w:val="BodyText"/>
      </w:pPr>
      <w:r>
        <w:rPr>
          <w:b/>
        </w:rPr>
        <w:t xml:space="preserve">Conclusions</w:t>
      </w:r>
    </w:p>
    <w:p>
      <w:pPr>
        <w:pStyle w:val="BodyText"/>
      </w:pPr>
      <w:r>
        <w:t xml:space="preserve">It was possible to establish the development level of scientific</w:t>
      </w:r>
      <w:r>
        <w:t xml:space="preserve"> </w:t>
      </w:r>
      <w:r>
        <w:t xml:space="preserve">research on SARS-CoV-2, summarizing the main works carried out in the</w:t>
      </w:r>
      <w:r>
        <w:t xml:space="preserve"> </w:t>
      </w:r>
      <w:r>
        <w:t xml:space="preserve">last 4 months of the pandemic and highlighting the main discussions held</w:t>
      </w:r>
      <w:r>
        <w:t xml:space="preserve"> </w:t>
      </w:r>
      <w:r>
        <w:t xml:space="preserve">by the scientific community on the disease, treatment/prevention, and</w:t>
      </w:r>
      <w:r>
        <w:t xml:space="preserve"> </w:t>
      </w:r>
      <w:r>
        <w:t xml:space="preserve">management of COVID-19. This compilation study can help future research,</w:t>
      </w:r>
      <w:r>
        <w:t xml:space="preserve"> </w:t>
      </w:r>
      <w:r>
        <w:t xml:space="preserve">by identifying knowledge gaps about coronavirus. Furthermore, the</w:t>
      </w:r>
      <w:r>
        <w:t xml:space="preserve"> </w:t>
      </w:r>
      <w:r>
        <w:t xml:space="preserve">information contained herein may be used in studies on new drugs capable</w:t>
      </w:r>
      <w:r>
        <w:t xml:space="preserve"> </w:t>
      </w:r>
      <w:r>
        <w:t xml:space="preserve">of combating this viral infection, on the development of vaccines in a</w:t>
      </w:r>
      <w:r>
        <w:t xml:space="preserve"> </w:t>
      </w:r>
      <w:r>
        <w:t xml:space="preserve">shorter period, and on measures to control new COVID-19 cases. This</w:t>
      </w:r>
      <w:r>
        <w:t xml:space="preserve"> </w:t>
      </w:r>
      <w:r>
        <w:t xml:space="preserve">study also helps to understand disease behavior and proposing solutions</w:t>
      </w:r>
      <w:r>
        <w:t xml:space="preserve"> </w:t>
      </w:r>
      <w:r>
        <w:t xml:space="preserve">for the resumption of economic and social activities by affected</w:t>
      </w:r>
      <w:r>
        <w:t xml:space="preserve"> </w:t>
      </w:r>
      <w:r>
        <w:t xml:space="preserve">countries based on scientific knowledge. All the experience gained with</w:t>
      </w:r>
      <w:r>
        <w:t xml:space="preserve"> </w:t>
      </w:r>
      <w:r>
        <w:t xml:space="preserve">COVID-19 should be used to anticipate future scenarios and to establish</w:t>
      </w:r>
      <w:r>
        <w:t xml:space="preserve"> </w:t>
      </w:r>
      <w:r>
        <w:t xml:space="preserve">more effective control procedures in order to reduce the probability of</w:t>
      </w:r>
      <w:r>
        <w:t xml:space="preserve"> </w:t>
      </w:r>
      <w:r>
        <w:t xml:space="preserve">new pandemics in the coming years.</w:t>
      </w:r>
    </w:p>
    <w:p>
      <w:pPr>
        <w:pStyle w:val="BodyText"/>
      </w:pPr>
      <w:r>
        <w:rPr>
          <w:b/>
        </w:rPr>
        <w:t xml:space="preserve">Acknowledgments:</w:t>
      </w:r>
      <w:r>
        <w:t xml:space="preserve"> </w:t>
      </w:r>
      <w:r>
        <w:t xml:space="preserve">The authors greatly acknowledge the</w:t>
      </w:r>
      <w:r>
        <w:t xml:space="preserve"> </w:t>
      </w:r>
      <w:r>
        <w:t xml:space="preserve">Coordination for the Improvement of Higher Education Personnel (CAPES),</w:t>
      </w:r>
      <w:r>
        <w:t xml:space="preserve"> </w:t>
      </w:r>
      <w:r>
        <w:t xml:space="preserve">the National Council for Scientific and Technological Development</w:t>
      </w:r>
      <w:r>
        <w:t xml:space="preserve"> </w:t>
      </w:r>
      <w:r>
        <w:t xml:space="preserve">(CNPq), and the Research Support Foundation of the State of Rio de</w:t>
      </w:r>
      <w:r>
        <w:t xml:space="preserve"> </w:t>
      </w:r>
      <w:r>
        <w:t xml:space="preserve">Janeiro (FAPERJ) for giving financial support for scientific</w:t>
      </w:r>
      <w:r>
        <w:t xml:space="preserve"> </w:t>
      </w:r>
      <w:r>
        <w:t xml:space="preserve">investigation of this paper.</w:t>
      </w:r>
    </w:p>
    <w:p>
      <w:pPr>
        <w:pStyle w:val="BodyText"/>
      </w:pPr>
      <w:r>
        <w:rPr>
          <w:b/>
        </w:rPr>
        <w:t xml:space="preserve">Author contributions:</w:t>
      </w:r>
      <w:r>
        <w:t xml:space="preserve"> </w:t>
      </w:r>
      <w:r>
        <w:t xml:space="preserve">D.T. and S.B conceived the scientific</w:t>
      </w:r>
      <w:r>
        <w:t xml:space="preserve"> </w:t>
      </w:r>
      <w:r>
        <w:t xml:space="preserve">prospecting project. D.T. searched for the most cited papers on the Web</w:t>
      </w:r>
      <w:r>
        <w:t xml:space="preserve"> </w:t>
      </w:r>
      <w:r>
        <w:t xml:space="preserve">of Science. D.T. and S.B. contributed to the data analysis. D.T. wrote</w:t>
      </w:r>
      <w:r>
        <w:t xml:space="preserve"> </w:t>
      </w:r>
      <w:r>
        <w:t xml:space="preserve">the manuscript and S.B. revised the text.</w:t>
      </w:r>
    </w:p>
    <w:p>
      <w:pPr>
        <w:pStyle w:val="BodyText"/>
      </w:pPr>
      <w:r>
        <w:rPr>
          <w:b/>
        </w:rPr>
        <w:t xml:space="preserve">Competing interests:</w:t>
      </w:r>
      <w:r>
        <w:t xml:space="preserve"> </w:t>
      </w:r>
      <w:r>
        <w:t xml:space="preserve">The authors declare that there are no</w:t>
      </w:r>
      <w:r>
        <w:t xml:space="preserve"> </w:t>
      </w:r>
      <w:r>
        <w:t xml:space="preserve">competing interests.</w:t>
      </w:r>
    </w:p>
    <w:p>
      <w:pPr>
        <w:pStyle w:val="BodyText"/>
      </w:pPr>
      <w:r>
        <w:rPr>
          <w:b/>
        </w:rPr>
        <w:t xml:space="preserve">Data and materials availability:</w:t>
      </w:r>
      <w:r>
        <w:t xml:space="preserve"> </w:t>
      </w:r>
      <w:r>
        <w:t xml:space="preserve">All data are available in the</w:t>
      </w:r>
      <w:r>
        <w:t xml:space="preserve"> </w:t>
      </w:r>
      <w:r>
        <w:t xml:space="preserve">main text or the supplementary materials.</w:t>
      </w:r>
    </w:p>
    <w:p>
      <w:pPr>
        <w:pStyle w:val="BodyText"/>
      </w:pPr>
      <w:r>
        <w:rPr>
          <w:b/>
        </w:rPr>
        <w:t xml:space="preserve">Ethics statement:</w:t>
      </w:r>
      <w:r>
        <w:t xml:space="preserve"> </w:t>
      </w:r>
      <w:r>
        <w:t xml:space="preserve">The authors confirm that the ethical policies</w:t>
      </w:r>
      <w:r>
        <w:t xml:space="preserve"> </w:t>
      </w:r>
      <w:r>
        <w:t xml:space="preserve">of the journal, as noted on the journal’s author guidelines page, have</w:t>
      </w:r>
      <w:r>
        <w:t xml:space="preserve"> </w:t>
      </w:r>
      <w:r>
        <w:t xml:space="preserve">been adhered to. No ethical approval was required as this is a review</w:t>
      </w:r>
      <w:r>
        <w:t xml:space="preserve"> </w:t>
      </w:r>
      <w:r>
        <w:t xml:space="preserve">article with no original research data</w:t>
      </w:r>
    </w:p>
    <w:p>
      <w:pPr>
        <w:pStyle w:val="BodyText"/>
      </w:pPr>
      <w:r>
        <w:rPr>
          <w:b/>
        </w:rPr>
        <w:t xml:space="preserve">References</w:t>
      </w:r>
    </w:p>
    <w:p>
      <w:pPr>
        <w:pStyle w:val="BodyText"/>
      </w:pPr>
      <w:r>
        <w:t xml:space="preserve">Ahmed, S.F., A.A. Quadeer, and M.R. McKay, 2020: Preliminary</w:t>
      </w:r>
      <w:r>
        <w:t xml:space="preserve"> </w:t>
      </w:r>
      <w:r>
        <w:t xml:space="preserve">identification of potential vaccine targets for the COVID-19 Coronavirus</w:t>
      </w:r>
      <w:r>
        <w:t xml:space="preserve"> </w:t>
      </w:r>
      <w:r>
        <w:t xml:space="preserve">(SARS-CoV-2) Based on SARS-CoV Immunological Studies.</w:t>
      </w:r>
      <w:r>
        <w:t xml:space="preserve"> </w:t>
      </w:r>
      <w:r>
        <w:rPr>
          <w:i/>
        </w:rPr>
        <w:t xml:space="preserve">Viruses</w:t>
      </w:r>
      <w:r>
        <w:rPr>
          <w:b/>
        </w:rPr>
        <w:t xml:space="preserve">12</w:t>
      </w:r>
      <w:r>
        <w:t xml:space="preserve"> </w:t>
      </w:r>
      <w:r>
        <w:t xml:space="preserve">, DOI: 10.3390/v12030254.</w:t>
      </w:r>
    </w:p>
    <w:p>
      <w:pPr>
        <w:pStyle w:val="BodyText"/>
      </w:pPr>
      <w:r>
        <w:t xml:space="preserve">Al‐Shamsi, H.O., W. Alhazzani, A. Alhuraiji, E.A. Coomes, R.F. Chemaly,</w:t>
      </w:r>
      <w:r>
        <w:t xml:space="preserve"> </w:t>
      </w:r>
      <w:r>
        <w:t xml:space="preserve">M. Almuhanna, R.A. Wolff, N.K. Ibrahim, M.L.K. Chua, S.J. Hotte, B.M.</w:t>
      </w:r>
      <w:r>
        <w:t xml:space="preserve"> </w:t>
      </w:r>
      <w:r>
        <w:t xml:space="preserve">Meyers, T. Elfiki, G. Curigliano, C. Eng, A. Grothey, and C. Xie, 2020:</w:t>
      </w:r>
      <w:r>
        <w:t xml:space="preserve"> </w:t>
      </w:r>
      <w:r>
        <w:t xml:space="preserve">A Practical Approach to the Management of Cancer Patients During the</w:t>
      </w:r>
      <w:r>
        <w:t xml:space="preserve"> </w:t>
      </w:r>
      <w:r>
        <w:t xml:space="preserve">Novel Coronavirus Disease 2019 ( COVID ‐19) Pandemic: An International</w:t>
      </w:r>
      <w:r>
        <w:t xml:space="preserve"> </w:t>
      </w:r>
      <w:r>
        <w:t xml:space="preserve">Collaborative Group .</w:t>
      </w:r>
      <w:r>
        <w:t xml:space="preserve"> </w:t>
      </w:r>
      <w:r>
        <w:rPr>
          <w:i/>
        </w:rPr>
        <w:t xml:space="preserve">Oncologist</w:t>
      </w:r>
      <w:r>
        <w:t xml:space="preserve"> </w:t>
      </w:r>
      <w:r>
        <w:rPr>
          <w:b/>
        </w:rPr>
        <w:t xml:space="preserve">2019</w:t>
      </w:r>
      <w:r>
        <w:t xml:space="preserve"> </w:t>
      </w:r>
      <w:r>
        <w:t xml:space="preserve">, 1–10, DOI:</w:t>
      </w:r>
      <w:r>
        <w:t xml:space="preserve"> </w:t>
      </w:r>
      <w:r>
        <w:t xml:space="preserve">10.1634/theoncologist.2020-0213.</w:t>
      </w:r>
    </w:p>
    <w:p>
      <w:pPr>
        <w:pStyle w:val="BodyText"/>
      </w:pPr>
      <w:r>
        <w:t xml:space="preserve">Alhazzani, W., M.H. Møller, Y.M. Arabi, M. Loeb, M.N. Gong, E. Fan, S.</w:t>
      </w:r>
      <w:r>
        <w:t xml:space="preserve"> </w:t>
      </w:r>
      <w:r>
        <w:t xml:space="preserve">Oczkowski, M.M. Levy, L. Derde, A. Dzierba, B. Du, M. Aboodi, H. Wunsch,</w:t>
      </w:r>
      <w:r>
        <w:t xml:space="preserve"> </w:t>
      </w:r>
      <w:r>
        <w:t xml:space="preserve">M. Cecconi, Y. Koh, D.S. Chertow, K. Maitland, F. Alshamsi, E.</w:t>
      </w:r>
      <w:r>
        <w:t xml:space="preserve"> </w:t>
      </w:r>
      <w:r>
        <w:t xml:space="preserve">Belley-Cote, M. Greco, M. Laundy, J.S. Morgan, J. Kesecioglu, A. McGeer,</w:t>
      </w:r>
      <w:r>
        <w:t xml:space="preserve"> </w:t>
      </w:r>
      <w:r>
        <w:t xml:space="preserve">L. Mermel, M.J. Mammen, P.E. Alexander, A. Arrington, J.E. Centofanti,</w:t>
      </w:r>
      <w:r>
        <w:t xml:space="preserve"> </w:t>
      </w:r>
      <w:r>
        <w:t xml:space="preserve">G. Citerio, B. Baw, Z.A. Memish, N. Hammond, F.G. Hayden, L. Evans, and</w:t>
      </w:r>
      <w:r>
        <w:t xml:space="preserve"> </w:t>
      </w:r>
      <w:r>
        <w:t xml:space="preserve">A. Rhodes, 2020: Surviving Sepsis Campaign: Guidelines on the Management</w:t>
      </w:r>
      <w:r>
        <w:t xml:space="preserve"> </w:t>
      </w:r>
      <w:r>
        <w:t xml:space="preserve">of Critically Ill Adults with Coronavirus Disease 2019 (COVID-19). Vol.</w:t>
      </w:r>
      <w:r>
        <w:t xml:space="preserve"> </w:t>
      </w:r>
      <w:r>
        <w:t xml:space="preserve">46</w:t>
      </w:r>
      <w:r>
        <w:rPr>
          <w:i/>
        </w:rPr>
        <w:t xml:space="preserve">Intensive Care Med.</w:t>
      </w:r>
      <w:r>
        <w:t xml:space="preserve"> </w:t>
      </w:r>
      <w:r>
        <w:t xml:space="preserve">Springer Berlin Heidelberg.</w:t>
      </w:r>
    </w:p>
    <w:p>
      <w:pPr>
        <w:pStyle w:val="BodyText"/>
      </w:pPr>
      <w:r>
        <w:t xml:space="preserve">Bernheim, A., X. Mei, M. Huang, Y. Yang, Z.A. Fayad, N. Zhang, K. Diao,</w:t>
      </w:r>
      <w:r>
        <w:t xml:space="preserve"> </w:t>
      </w:r>
      <w:r>
        <w:t xml:space="preserve">B. Lin, X. Zhu, K. Li, S. Li, H. Shan, A. Jacobi, and M. Chung, 2020:</w:t>
      </w:r>
      <w:r>
        <w:t xml:space="preserve"> </w:t>
      </w:r>
      <w:r>
        <w:t xml:space="preserve">Chest CT findings in coronavirus disease 2019 (COVID-19): Relationship</w:t>
      </w:r>
      <w:r>
        <w:t xml:space="preserve"> </w:t>
      </w:r>
      <w:r>
        <w:t xml:space="preserve">to duration of infection.</w:t>
      </w:r>
      <w:r>
        <w:t xml:space="preserve"> </w:t>
      </w:r>
      <w:r>
        <w:rPr>
          <w:i/>
        </w:rPr>
        <w:t xml:space="preserve">Radiology</w:t>
      </w:r>
      <w:r>
        <w:t xml:space="preserve"> </w:t>
      </w:r>
      <w:r>
        <w:rPr>
          <w:b/>
        </w:rPr>
        <w:t xml:space="preserve">295</w:t>
      </w:r>
      <w:r>
        <w:t xml:space="preserve"> </w:t>
      </w:r>
      <w:r>
        <w:t xml:space="preserve">, 685–691, DOI:</w:t>
      </w:r>
      <w:r>
        <w:t xml:space="preserve"> </w:t>
      </w:r>
      <w:r>
        <w:t xml:space="preserve">10.1148/radiol.2020200463.</w:t>
      </w:r>
    </w:p>
    <w:p>
      <w:pPr>
        <w:pStyle w:val="BodyText"/>
      </w:pPr>
      <w:r>
        <w:t xml:space="preserve">Bhatraju, P.K., B.J. Ghassemieh, M. Nichols, R. Kim, K.R. Jerome, A.K.</w:t>
      </w:r>
      <w:r>
        <w:t xml:space="preserve"> </w:t>
      </w:r>
      <w:r>
        <w:t xml:space="preserve">Nalla, A.L. Greninger, S. Pipavath, M.M. Wurfel, L. Evans, P.A. Kritek,</w:t>
      </w:r>
      <w:r>
        <w:t xml:space="preserve"> </w:t>
      </w:r>
      <w:r>
        <w:t xml:space="preserve">T.E. West, A. Luks, A. Gerbino, C.R. Dale, J.D. Goldman, S. O’Mahony,</w:t>
      </w:r>
      <w:r>
        <w:t xml:space="preserve"> </w:t>
      </w:r>
      <w:r>
        <w:t xml:space="preserve">and C. Mikacenic, 2020: COVID-19 in critically ill patients in the</w:t>
      </w:r>
      <w:r>
        <w:t xml:space="preserve"> </w:t>
      </w:r>
      <w:r>
        <w:t xml:space="preserve">Seattle region — Case series.</w:t>
      </w:r>
      <w:r>
        <w:t xml:space="preserve"> </w:t>
      </w:r>
      <w:r>
        <w:rPr>
          <w:i/>
        </w:rPr>
        <w:t xml:space="preserve">N. Engl. J. Med.</w:t>
      </w:r>
      <w:r>
        <w:t xml:space="preserve"> </w:t>
      </w:r>
      <w:r>
        <w:rPr>
          <w:b/>
        </w:rPr>
        <w:t xml:space="preserve">382</w:t>
      </w:r>
      <w:r>
        <w:t xml:space="preserve"> </w:t>
      </w:r>
      <w:r>
        <w:t xml:space="preserve">,</w:t>
      </w:r>
      <w:r>
        <w:t xml:space="preserve"> </w:t>
      </w:r>
      <w:r>
        <w:t xml:space="preserve">2012–2022, DOI: 10.1056/NEJMoa2004500.</w:t>
      </w:r>
    </w:p>
    <w:p>
      <w:pPr>
        <w:pStyle w:val="BodyText"/>
      </w:pPr>
      <w:r>
        <w:t xml:space="preserve">Bialek, S., E. Boundy, V. Bowen, N. Chow, A. Cohn, N. Dowling, S.</w:t>
      </w:r>
      <w:r>
        <w:t xml:space="preserve"> </w:t>
      </w:r>
      <w:r>
        <w:t xml:space="preserve">Ellington, R. Gierke, A. Hall, J. MacNeil, P. Patel, G. Peacock, T.</w:t>
      </w:r>
      <w:r>
        <w:t xml:space="preserve"> </w:t>
      </w:r>
      <w:r>
        <w:t xml:space="preserve">Pilishvili, H. Razzaghi, N. Reed, M. Ritchey, and E. Sauber-Schatz,</w:t>
      </w:r>
      <w:r>
        <w:t xml:space="preserve"> </w:t>
      </w:r>
      <w:r>
        <w:t xml:space="preserve">2020: Severe outcomes among patients with coronavirus disease 2019</w:t>
      </w:r>
      <w:r>
        <w:t xml:space="preserve"> </w:t>
      </w:r>
      <w:r>
        <w:t xml:space="preserve">(COVID-19) - United States, February 12-march 16, 2020.</w:t>
      </w:r>
      <w:r>
        <w:t xml:space="preserve"> </w:t>
      </w:r>
      <w:r>
        <w:rPr>
          <w:i/>
        </w:rPr>
        <w:t xml:space="preserve">Morb.</w:t>
      </w:r>
      <w:r>
        <w:rPr>
          <w:i/>
        </w:rPr>
        <w:t xml:space="preserve"> </w:t>
      </w:r>
      <w:r>
        <w:rPr>
          <w:i/>
        </w:rPr>
        <w:t xml:space="preserve">Mortal. Wkly. Rep.</w:t>
      </w:r>
      <w:r>
        <w:t xml:space="preserve"> </w:t>
      </w:r>
      <w:r>
        <w:rPr>
          <w:b/>
        </w:rPr>
        <w:t xml:space="preserve">69</w:t>
      </w:r>
      <w:r>
        <w:t xml:space="preserve"> </w:t>
      </w:r>
      <w:r>
        <w:t xml:space="preserve">, 343–346, DOI: 10.15585/mmwr.mm6912e2.</w:t>
      </w:r>
    </w:p>
    <w:p>
      <w:pPr>
        <w:pStyle w:val="BodyText"/>
      </w:pPr>
      <w:r>
        <w:t xml:space="preserve">Cao, B., Y. Wang, D. Wen, W. Liu, J. Wang, G. Fan, L. Ruan, B. Song, Y.</w:t>
      </w:r>
      <w:r>
        <w:t xml:space="preserve"> </w:t>
      </w:r>
      <w:r>
        <w:t xml:space="preserve">Cai, M. Wei, X. Li, J. Xia, N. Chen, J. Xiang, T. Yu, T. Bai, X. Xie, L.</w:t>
      </w:r>
      <w:r>
        <w:t xml:space="preserve"> </w:t>
      </w:r>
      <w:r>
        <w:t xml:space="preserve">Zhang, C. Li, Y. Yuan, H. Chen, H. Li, H. Huang, S. Tu, F. Gong, Y. Liu,</w:t>
      </w:r>
      <w:r>
        <w:t xml:space="preserve"> </w:t>
      </w:r>
      <w:r>
        <w:t xml:space="preserve">Y. Wei, C. Dong, F. Zhou, X. Gu, J. Xu, Z. Liu, Y. Zhang, H. Li, L.</w:t>
      </w:r>
      <w:r>
        <w:t xml:space="preserve"> </w:t>
      </w:r>
      <w:r>
        <w:t xml:space="preserve">Shang, K. Wang, K. Li, X. Zhou, X. Dong, Z. Qu, S. Lu, X. Hu, S. Ruan,</w:t>
      </w:r>
      <w:r>
        <w:t xml:space="preserve"> </w:t>
      </w:r>
      <w:r>
        <w:t xml:space="preserve">S. Luo, J. Wu, L. Peng, F. Cheng, L. Pan, J. Zou, C. Jia, J. Wang, X.</w:t>
      </w:r>
      <w:r>
        <w:t xml:space="preserve"> </w:t>
      </w:r>
      <w:r>
        <w:t xml:space="preserve">Liu, S. Wang, X. Wu, Q. Ge, J. He, H. Zhan, F. Qiu, L. Guo, C. Huang, T.</w:t>
      </w:r>
      <w:r>
        <w:t xml:space="preserve"> </w:t>
      </w:r>
      <w:r>
        <w:t xml:space="preserve">Jaki, F.G. Hayden, P.W. Horby, D. Zhang, and C. Wang, 2020: A trial of</w:t>
      </w:r>
      <w:r>
        <w:t xml:space="preserve"> </w:t>
      </w:r>
      <w:r>
        <w:t xml:space="preserve">lopinavir-ritonavir in adults hospitalized with severe covid-19.</w:t>
      </w:r>
      <w:r>
        <w:rPr>
          <w:i/>
        </w:rPr>
        <w:t xml:space="preserve">N.</w:t>
      </w:r>
      <w:r>
        <w:rPr>
          <w:i/>
        </w:rPr>
        <w:t xml:space="preserve"> </w:t>
      </w:r>
      <w:r>
        <w:rPr>
          <w:i/>
        </w:rPr>
        <w:t xml:space="preserve">Engl. J. Med.</w:t>
      </w:r>
      <w:r>
        <w:t xml:space="preserve"> </w:t>
      </w:r>
      <w:r>
        <w:rPr>
          <w:b/>
        </w:rPr>
        <w:t xml:space="preserve">382</w:t>
      </w:r>
      <w:r>
        <w:t xml:space="preserve"> </w:t>
      </w:r>
      <w:r>
        <w:t xml:space="preserve">, 1787–1799, DOI: 10.1056/NEJMoa2001282.</w:t>
      </w:r>
    </w:p>
    <w:p>
      <w:pPr>
        <w:pStyle w:val="BodyText"/>
      </w:pPr>
      <w:r>
        <w:t xml:space="preserve">Cheng, Y., R. Luo, K. Wang, M. Zhang, Z. Wang, L. Dong, J. Li, Y. Yao,</w:t>
      </w:r>
      <w:r>
        <w:t xml:space="preserve"> </w:t>
      </w:r>
      <w:r>
        <w:t xml:space="preserve">S. Ge, and G. Xu, 2020: Kidney disease is associated with in-hospital</w:t>
      </w:r>
      <w:r>
        <w:t xml:space="preserve"> </w:t>
      </w:r>
      <w:r>
        <w:t xml:space="preserve">death of patients with COVID-19.</w:t>
      </w:r>
      <w:r>
        <w:t xml:space="preserve"> </w:t>
      </w:r>
      <w:r>
        <w:rPr>
          <w:i/>
        </w:rPr>
        <w:t xml:space="preserve">Kidney Int.</w:t>
      </w:r>
      <w:r>
        <w:t xml:space="preserve"> </w:t>
      </w:r>
      <w:r>
        <w:rPr>
          <w:b/>
        </w:rPr>
        <w:t xml:space="preserve">97</w:t>
      </w:r>
      <w:r>
        <w:t xml:space="preserve"> </w:t>
      </w:r>
      <w:r>
        <w:t xml:space="preserve">,</w:t>
      </w:r>
      <w:r>
        <w:t xml:space="preserve"> </w:t>
      </w:r>
      <w:r>
        <w:t xml:space="preserve">829–838, DOI: 10.1016/j.kint.2020.03.005.</w:t>
      </w:r>
    </w:p>
    <w:p>
      <w:pPr>
        <w:pStyle w:val="BodyText"/>
      </w:pPr>
      <w:r>
        <w:t xml:space="preserve">Chinazzi, M., J.T. Davis, M. Ajelli, C. Gioannini, M. Litvinova, S.</w:t>
      </w:r>
      <w:r>
        <w:t xml:space="preserve"> </w:t>
      </w:r>
      <w:r>
        <w:t xml:space="preserve">Merler, A. Pastore y Piontti, K. Mu, L. Rossi, K. Sun, C. Viboud, X.</w:t>
      </w:r>
      <w:r>
        <w:t xml:space="preserve"> </w:t>
      </w:r>
      <w:r>
        <w:t xml:space="preserve">Xiong, H. Yu, M. Elizabeth Halloran, I.M. Longini, and A. Vespignani,</w:t>
      </w:r>
      <w:r>
        <w:t xml:space="preserve"> </w:t>
      </w:r>
      <w:r>
        <w:t xml:space="preserve">2020: The effect of travel restrictions on the spread of the 2019 novel</w:t>
      </w:r>
      <w:r>
        <w:t xml:space="preserve"> </w:t>
      </w:r>
      <w:r>
        <w:t xml:space="preserve">coronavirus (COVID-19) outbreak.</w:t>
      </w:r>
      <w:r>
        <w:t xml:space="preserve"> </w:t>
      </w:r>
      <w:r>
        <w:rPr>
          <w:i/>
        </w:rPr>
        <w:t xml:space="preserve">Science (80-. ).</w:t>
      </w:r>
      <w:r>
        <w:t xml:space="preserve"> </w:t>
      </w:r>
      <w:r>
        <w:rPr>
          <w:b/>
        </w:rPr>
        <w:t xml:space="preserve">368</w:t>
      </w:r>
      <w:r>
        <w:t xml:space="preserve"> </w:t>
      </w:r>
      <w:r>
        <w:t xml:space="preserve">,</w:t>
      </w:r>
      <w:r>
        <w:t xml:space="preserve"> </w:t>
      </w:r>
      <w:r>
        <w:t xml:space="preserve">395–400, DOI: 10.1126/science.aba9757.</w:t>
      </w:r>
    </w:p>
    <w:p>
      <w:pPr>
        <w:pStyle w:val="BodyText"/>
      </w:pPr>
      <w:r>
        <w:t xml:space="preserve">Colson, P., J.M. Rolain, J.C. Lagier, P. Brouqui, and D. Raoult, 2020:</w:t>
      </w:r>
      <w:r>
        <w:t xml:space="preserve"> </w:t>
      </w:r>
      <w:r>
        <w:t xml:space="preserve">Chloroquine and hydroxychloroquine as available weapons to fight</w:t>
      </w:r>
      <w:r>
        <w:t xml:space="preserve"> </w:t>
      </w:r>
      <w:r>
        <w:t xml:space="preserve">COVID-19.</w:t>
      </w:r>
      <w:r>
        <w:t xml:space="preserve"> </w:t>
      </w:r>
      <w:r>
        <w:rPr>
          <w:i/>
        </w:rPr>
        <w:t xml:space="preserve">Int. J. Antimicrob. Agents</w:t>
      </w:r>
      <w:r>
        <w:t xml:space="preserve"> </w:t>
      </w:r>
      <w:r>
        <w:rPr>
          <w:b/>
        </w:rPr>
        <w:t xml:space="preserve">55</w:t>
      </w:r>
      <w:r>
        <w:t xml:space="preserve"> </w:t>
      </w:r>
      <w:r>
        <w:t xml:space="preserve">, 105932, DOI:</w:t>
      </w:r>
      <w:r>
        <w:t xml:space="preserve"> </w:t>
      </w:r>
      <w:r>
        <w:t xml:space="preserve">10.1016/j.ijantimicag.2020.105932.</w:t>
      </w:r>
    </w:p>
    <w:p>
      <w:pPr>
        <w:pStyle w:val="BodyText"/>
      </w:pPr>
      <w:r>
        <w:t xml:space="preserve">Cook, T.M., K. El-Boghdadly, B. McGuire, A.F. McNarry, A. Patel, and A.</w:t>
      </w:r>
      <w:r>
        <w:t xml:space="preserve"> </w:t>
      </w:r>
      <w:r>
        <w:t xml:space="preserve">Higgs, 2020: Consensus guidelines for managing the airway in patients</w:t>
      </w:r>
      <w:r>
        <w:t xml:space="preserve"> </w:t>
      </w:r>
      <w:r>
        <w:t xml:space="preserve">with COVID-19: Guidelines from the Difficult Airway Society, the</w:t>
      </w:r>
      <w:r>
        <w:t xml:space="preserve"> </w:t>
      </w:r>
      <w:r>
        <w:t xml:space="preserve">Association of Anaesthetists the Intensive Care Society, the Faculty of</w:t>
      </w:r>
      <w:r>
        <w:t xml:space="preserve"> </w:t>
      </w:r>
      <w:r>
        <w:t xml:space="preserve">Intensive Care Medicine and the Royal College of</w:t>
      </w:r>
      <w:r>
        <w:t xml:space="preserve"> </w:t>
      </w:r>
      <w:r>
        <w:t xml:space="preserve">Anaesthetist.</w:t>
      </w:r>
      <w:r>
        <w:rPr>
          <w:i/>
        </w:rPr>
        <w:t xml:space="preserve">Anaesthesia</w:t>
      </w:r>
      <w:r>
        <w:t xml:space="preserve"> </w:t>
      </w:r>
      <w:r>
        <w:t xml:space="preserve">785–799, DOI: 10.1111/anae.15054.</w:t>
      </w:r>
    </w:p>
    <w:p>
      <w:pPr>
        <w:pStyle w:val="BodyText"/>
      </w:pPr>
      <w:r>
        <w:t xml:space="preserve">Dong, L., S. Hu, and J. Gao, 2020: Discovering drugs to treat</w:t>
      </w:r>
      <w:r>
        <w:t xml:space="preserve"> </w:t>
      </w:r>
      <w:r>
        <w:t xml:space="preserve">coronavirus disease 2019 (COVID-19).</w:t>
      </w:r>
      <w:r>
        <w:t xml:space="preserve"> </w:t>
      </w:r>
      <w:r>
        <w:rPr>
          <w:i/>
        </w:rPr>
        <w:t xml:space="preserve">Drug Discov.</w:t>
      </w:r>
      <w:r>
        <w:rPr>
          <w:i/>
        </w:rPr>
        <w:t xml:space="preserve"> </w:t>
      </w:r>
      <w:r>
        <w:rPr>
          <w:i/>
        </w:rPr>
        <w:t xml:space="preserve">Ther.</w:t>
      </w:r>
      <w:r>
        <w:rPr>
          <w:b/>
        </w:rPr>
        <w:t xml:space="preserve">14</w:t>
      </w:r>
      <w:r>
        <w:t xml:space="preserve"> </w:t>
      </w:r>
      <w:r>
        <w:t xml:space="preserve">, 58–60, DOI: 10.5582/ddt.2020.01012.</w:t>
      </w:r>
    </w:p>
    <w:p>
      <w:pPr>
        <w:pStyle w:val="BodyText"/>
      </w:pPr>
      <w:r>
        <w:t xml:space="preserve">Duan, K., B. Liu, C. Li, H. Zhang, T. Yu, J. Qu, M. Zhou, L. Chen, S.</w:t>
      </w:r>
      <w:r>
        <w:t xml:space="preserve"> </w:t>
      </w:r>
      <w:r>
        <w:t xml:space="preserve">Meng, Y. Hu, C. Peng, M. Yuan, J. Huang, Z. Wang, J. Yu, X. Gao, D.</w:t>
      </w:r>
      <w:r>
        <w:t xml:space="preserve"> </w:t>
      </w:r>
      <w:r>
        <w:t xml:space="preserve">Wang, X. Yu, L. Li, J. Zhang, X. Wu, B. Li, Y. Xu, W. Chen, Y. Peng, Y.</w:t>
      </w:r>
      <w:r>
        <w:t xml:space="preserve"> </w:t>
      </w:r>
      <w:r>
        <w:t xml:space="preserve">Hu, L. Lin, X. Liu, S. Huang, Z. Zhou, L. Zhang, Y. Wang, Z. Zhang, K.</w:t>
      </w:r>
      <w:r>
        <w:t xml:space="preserve"> </w:t>
      </w:r>
      <w:r>
        <w:t xml:space="preserve">Deng, Z. Xia, Q. Gong, W. Zhang, X. Zheng, Y. Liu, H. Yang, D. Zhou, D.</w:t>
      </w:r>
      <w:r>
        <w:t xml:space="preserve"> </w:t>
      </w:r>
      <w:r>
        <w:t xml:space="preserve">Yu, J. Hou, Z. Shi, S. Chen, Z. Chen, X. Zhang, and X. Yang, 2020:</w:t>
      </w:r>
      <w:r>
        <w:t xml:space="preserve"> </w:t>
      </w:r>
      <w:r>
        <w:t xml:space="preserve">Effectiveness of convalescent plasma therapy in severe COVID-19</w:t>
      </w:r>
      <w:r>
        <w:t xml:space="preserve"> </w:t>
      </w:r>
      <w:r>
        <w:t xml:space="preserve">patients.</w:t>
      </w:r>
      <w:r>
        <w:t xml:space="preserve"> </w:t>
      </w:r>
      <w:r>
        <w:rPr>
          <w:i/>
        </w:rPr>
        <w:t xml:space="preserve">Proc. Natl. Acad. Sci. U. S. A.</w:t>
      </w:r>
      <w:r>
        <w:t xml:space="preserve"> </w:t>
      </w:r>
      <w:r>
        <w:rPr>
          <w:b/>
        </w:rPr>
        <w:t xml:space="preserve">117</w:t>
      </w:r>
      <w:r>
        <w:t xml:space="preserve"> </w:t>
      </w:r>
      <w:r>
        <w:t xml:space="preserve">,</w:t>
      </w:r>
      <w:r>
        <w:t xml:space="preserve"> </w:t>
      </w:r>
      <w:r>
        <w:t xml:space="preserve">9490–9496, DOI: 10.1073/pnas.2004168117.</w:t>
      </w:r>
    </w:p>
    <w:p>
      <w:pPr>
        <w:pStyle w:val="BodyText"/>
      </w:pPr>
      <w:r>
        <w:t xml:space="preserve">Elfiky, A.A., 2020: Anti-HCV, nucleotide inhibitors, repurposing against</w:t>
      </w:r>
      <w:r>
        <w:t xml:space="preserve"> </w:t>
      </w:r>
      <w:r>
        <w:t xml:space="preserve">COVID-19.</w:t>
      </w:r>
      <w:r>
        <w:t xml:space="preserve"> </w:t>
      </w:r>
      <w:r>
        <w:rPr>
          <w:i/>
        </w:rPr>
        <w:t xml:space="preserve">Life Sci.</w:t>
      </w:r>
      <w:r>
        <w:t xml:space="preserve"> </w:t>
      </w:r>
      <w:r>
        <w:rPr>
          <w:b/>
        </w:rPr>
        <w:t xml:space="preserve">248</w:t>
      </w:r>
      <w:r>
        <w:t xml:space="preserve"> </w:t>
      </w:r>
      <w:r>
        <w:t xml:space="preserve">, DOI:</w:t>
      </w:r>
      <w:r>
        <w:t xml:space="preserve"> </w:t>
      </w:r>
      <w:r>
        <w:t xml:space="preserve">10.1016/j.lfs.2020.117477.</w:t>
      </w:r>
    </w:p>
    <w:p>
      <w:pPr>
        <w:pStyle w:val="BodyText"/>
      </w:pPr>
      <w:r>
        <w:t xml:space="preserve">Gilbert, M., G. Pullano, F. Pinotti, E. Valdano, C. Poletto, P.Y.</w:t>
      </w:r>
      <w:r>
        <w:t xml:space="preserve"> </w:t>
      </w:r>
      <w:r>
        <w:t xml:space="preserve">Boëlle, E. D’Ortenzio, Y. Yazdanpanah, S.P. Eholie, M. Altmann, B.</w:t>
      </w:r>
      <w:r>
        <w:t xml:space="preserve"> </w:t>
      </w:r>
      <w:r>
        <w:t xml:space="preserve">Gutierrez, M.U.G. Kraemer, and V. Colizza, 2020: Preparedness and</w:t>
      </w:r>
      <w:r>
        <w:t xml:space="preserve"> </w:t>
      </w:r>
      <w:r>
        <w:t xml:space="preserve">vulnerability of African countries against importations of COVID-19: a</w:t>
      </w:r>
      <w:r>
        <w:t xml:space="preserve"> </w:t>
      </w:r>
      <w:r>
        <w:t xml:space="preserve">modelling study.</w:t>
      </w:r>
      <w:r>
        <w:t xml:space="preserve"> </w:t>
      </w:r>
      <w:r>
        <w:rPr>
          <w:i/>
        </w:rPr>
        <w:t xml:space="preserve">Lancet</w:t>
      </w:r>
      <w:r>
        <w:t xml:space="preserve"> </w:t>
      </w:r>
      <w:r>
        <w:rPr>
          <w:b/>
        </w:rPr>
        <w:t xml:space="preserve">395</w:t>
      </w:r>
      <w:r>
        <w:t xml:space="preserve"> </w:t>
      </w:r>
      <w:r>
        <w:t xml:space="preserve">, 871–877, DOI:</w:t>
      </w:r>
      <w:r>
        <w:t xml:space="preserve"> </w:t>
      </w:r>
      <w:r>
        <w:t xml:space="preserve">10.1016/S0140-6736(20)30411-6.</w:t>
      </w:r>
    </w:p>
    <w:p>
      <w:pPr>
        <w:pStyle w:val="BodyText"/>
      </w:pPr>
      <w:r>
        <w:t xml:space="preserve">Grein, J., N. Ohmagari, D. Shin, G. Diaz, E. Asperges, A. Castagna, T.</w:t>
      </w:r>
      <w:r>
        <w:t xml:space="preserve"> </w:t>
      </w:r>
      <w:r>
        <w:t xml:space="preserve">Feldt, G. Green, M.L. Green, F.X. Lescure, E. Nicastri, R. Oda, K. Yo,</w:t>
      </w:r>
      <w:r>
        <w:t xml:space="preserve"> </w:t>
      </w:r>
      <w:r>
        <w:t xml:space="preserve">E. Quiros-Roldan, A. Studemeister, J. Redinski, S. Ahmed, J. Bernett, D.</w:t>
      </w:r>
      <w:r>
        <w:t xml:space="preserve"> </w:t>
      </w:r>
      <w:r>
        <w:t xml:space="preserve">Chelliah, D. Chen, S. Chihara, S.H. Cohen, J. Cunningham, A. D’Arminio</w:t>
      </w:r>
      <w:r>
        <w:t xml:space="preserve"> </w:t>
      </w:r>
      <w:r>
        <w:t xml:space="preserve">Monforte, S. Ismail, H. Kato, G. Lapadula, E. L’Her, T. Maeno, S.</w:t>
      </w:r>
      <w:r>
        <w:t xml:space="preserve"> </w:t>
      </w:r>
      <w:r>
        <w:t xml:space="preserve">Majumder, M. Massari, M. Mora-Rillo, Y. Mutoh, D. Nguyen, E. Verweij, A.</w:t>
      </w:r>
      <w:r>
        <w:t xml:space="preserve"> </w:t>
      </w:r>
      <w:r>
        <w:t xml:space="preserve">Zoufaly, A.O. Osinusi, A. DeZure, Y. Zhao, L. Zhong, A. Chokkalingam, E.</w:t>
      </w:r>
      <w:r>
        <w:t xml:space="preserve"> </w:t>
      </w:r>
      <w:r>
        <w:t xml:space="preserve">Elboudwarej, L. Telep, L. Timbs, I. Henne, S. Sellers, H. Cao, S.K. Tan,</w:t>
      </w:r>
      <w:r>
        <w:t xml:space="preserve"> </w:t>
      </w:r>
      <w:r>
        <w:t xml:space="preserve">L. Winterbourne, P. Desai, R. Mera, A. Gaggar, R.P. Myers, D.M.</w:t>
      </w:r>
      <w:r>
        <w:t xml:space="preserve"> </w:t>
      </w:r>
      <w:r>
        <w:t xml:space="preserve">Brainard, R. Childs, and T. Flanigan, 2020: Compassionate use of</w:t>
      </w:r>
      <w:r>
        <w:t xml:space="preserve"> </w:t>
      </w:r>
      <w:r>
        <w:t xml:space="preserve">remdesivir for patients with severe Covid-19.</w:t>
      </w:r>
      <w:r>
        <w:t xml:space="preserve"> </w:t>
      </w:r>
      <w:r>
        <w:rPr>
          <w:i/>
        </w:rPr>
        <w:t xml:space="preserve">N. Engl. J.</w:t>
      </w:r>
      <w:r>
        <w:rPr>
          <w:i/>
        </w:rPr>
        <w:t xml:space="preserve"> </w:t>
      </w:r>
      <w:r>
        <w:rPr>
          <w:i/>
        </w:rPr>
        <w:t xml:space="preserve">Med.</w:t>
      </w:r>
      <w:r>
        <w:rPr>
          <w:b/>
        </w:rPr>
        <w:t xml:space="preserve">382</w:t>
      </w:r>
      <w:r>
        <w:t xml:space="preserve"> </w:t>
      </w:r>
      <w:r>
        <w:t xml:space="preserve">, 2327–2336, DOI: 10.1056/NEJMoa2007016.</w:t>
      </w:r>
    </w:p>
    <w:p>
      <w:pPr>
        <w:pStyle w:val="BodyText"/>
      </w:pPr>
      <w:r>
        <w:t xml:space="preserve">Hellewell, J., S. Abbott, A. Gimma, N.I. Bosse, C.I. Jarvis, T.W.</w:t>
      </w:r>
      <w:r>
        <w:t xml:space="preserve"> </w:t>
      </w:r>
      <w:r>
        <w:t xml:space="preserve">Russell, J.D. Munday, A.J. Kucharski, W.J. Edmunds, F. Sun, S. Flasche,</w:t>
      </w:r>
      <w:r>
        <w:t xml:space="preserve"> </w:t>
      </w:r>
      <w:r>
        <w:t xml:space="preserve">B.J. Quilty, N. Davies, Y. Liu, S. Clifford, P. Klepac, M. Jit, C.</w:t>
      </w:r>
      <w:r>
        <w:t xml:space="preserve"> </w:t>
      </w:r>
      <w:r>
        <w:t xml:space="preserve">Diamond, H. Gibbs, K. van Zandvoort, S. Funk, and R.M. Eggo, 2020:</w:t>
      </w:r>
      <w:r>
        <w:t xml:space="preserve"> </w:t>
      </w:r>
      <w:r>
        <w:t xml:space="preserve">Feasibility of controlling COVID-19 outbreaks by isolation of cases and</w:t>
      </w:r>
      <w:r>
        <w:t xml:space="preserve"> </w:t>
      </w:r>
      <w:r>
        <w:t xml:space="preserve">contacts.</w:t>
      </w:r>
      <w:r>
        <w:t xml:space="preserve"> </w:t>
      </w:r>
      <w:r>
        <w:rPr>
          <w:i/>
        </w:rPr>
        <w:t xml:space="preserve">Lancet Glob. Heal.</w:t>
      </w:r>
      <w:r>
        <w:t xml:space="preserve"> </w:t>
      </w:r>
      <w:r>
        <w:rPr>
          <w:b/>
        </w:rPr>
        <w:t xml:space="preserve">8</w:t>
      </w:r>
      <w:r>
        <w:t xml:space="preserve"> </w:t>
      </w:r>
      <w:r>
        <w:t xml:space="preserve">, e488–e496, DOI:</w:t>
      </w:r>
      <w:r>
        <w:t xml:space="preserve"> </w:t>
      </w:r>
      <w:r>
        <w:t xml:space="preserve">10.1016/S2214-109X(20)30074-7.</w:t>
      </w:r>
    </w:p>
    <w:p>
      <w:pPr>
        <w:pStyle w:val="BodyText"/>
      </w:pPr>
      <w:r>
        <w:t xml:space="preserve">Hu, Z., C. Song, C. Xu, G. Jin, Y. Chen, X. Xu, H. Ma, W. Chen, Y. Lin,</w:t>
      </w:r>
      <w:r>
        <w:t xml:space="preserve"> </w:t>
      </w:r>
      <w:r>
        <w:t xml:space="preserve">Y. Zheng, J. Wang, Z. Hu, Y. Yi, and H. Shen, 2020: Clinical</w:t>
      </w:r>
      <w:r>
        <w:t xml:space="preserve"> </w:t>
      </w:r>
      <w:r>
        <w:t xml:space="preserve">characteristics of 24 asymptomatic infections with COVID-19 screened</w:t>
      </w:r>
      <w:r>
        <w:t xml:space="preserve"> </w:t>
      </w:r>
      <w:r>
        <w:t xml:space="preserve">among close contacts in Nanjing, China.</w:t>
      </w:r>
      <w:r>
        <w:t xml:space="preserve"> </w:t>
      </w:r>
      <w:r>
        <w:rPr>
          <w:i/>
        </w:rPr>
        <w:t xml:space="preserve">Sci. China Life</w:t>
      </w:r>
      <w:r>
        <w:rPr>
          <w:i/>
        </w:rPr>
        <w:t xml:space="preserve"> </w:t>
      </w:r>
      <w:r>
        <w:rPr>
          <w:i/>
        </w:rPr>
        <w:t xml:space="preserve">Sci.</w:t>
      </w:r>
      <w:r>
        <w:rPr>
          <w:b/>
        </w:rPr>
        <w:t xml:space="preserve">63</w:t>
      </w:r>
      <w:r>
        <w:t xml:space="preserve"> </w:t>
      </w:r>
      <w:r>
        <w:t xml:space="preserve">, 706–711, DOI: 10.1007/s11427-020-1661-4.</w:t>
      </w:r>
    </w:p>
    <w:p>
      <w:pPr>
        <w:pStyle w:val="BodyText"/>
      </w:pPr>
      <w:r>
        <w:t xml:space="preserve">Jiang, F., L. Deng, L. Zhang, Y. Cai, C.W. Cheung, and Z. Xia, 2020:</w:t>
      </w:r>
      <w:r>
        <w:t xml:space="preserve"> </w:t>
      </w:r>
      <w:r>
        <w:t xml:space="preserve">Review of the Clinical Characteristics of Coronavirus Disease 2019</w:t>
      </w:r>
      <w:r>
        <w:t xml:space="preserve"> </w:t>
      </w:r>
      <w:r>
        <w:t xml:space="preserve">(COVID-19).</w:t>
      </w:r>
      <w:r>
        <w:t xml:space="preserve"> </w:t>
      </w:r>
      <w:r>
        <w:rPr>
          <w:i/>
        </w:rPr>
        <w:t xml:space="preserve">J. Gen. Intern. Med.</w:t>
      </w:r>
      <w:r>
        <w:t xml:space="preserve"> </w:t>
      </w:r>
      <w:r>
        <w:rPr>
          <w:b/>
        </w:rPr>
        <w:t xml:space="preserve">35</w:t>
      </w:r>
      <w:r>
        <w:t xml:space="preserve"> </w:t>
      </w:r>
      <w:r>
        <w:t xml:space="preserve">, 1545–1549, DOI:</w:t>
      </w:r>
      <w:r>
        <w:t xml:space="preserve"> </w:t>
      </w:r>
      <w:r>
        <w:t xml:space="preserve">10.1007/s11606-020-05762-w.</w:t>
      </w:r>
    </w:p>
    <w:p>
      <w:pPr>
        <w:pStyle w:val="BodyText"/>
      </w:pPr>
      <w:r>
        <w:t xml:space="preserve">Jung, S., A.R. Akhmetzhanov, K. Hayashi, N.M. Linton, Y. Yang, B. Yuan,</w:t>
      </w:r>
      <w:r>
        <w:t xml:space="preserve"> </w:t>
      </w:r>
      <w:r>
        <w:t xml:space="preserve">T. Kobayashi, R. Kinoshita, and H. Nishiura, 2020: Real-Time Estimation</w:t>
      </w:r>
      <w:r>
        <w:t xml:space="preserve"> </w:t>
      </w:r>
      <w:r>
        <w:t xml:space="preserve">of the Risk of Death from Novel Coronavirus (COVID-19) Infection:</w:t>
      </w:r>
      <w:r>
        <w:t xml:space="preserve"> </w:t>
      </w:r>
      <w:r>
        <w:t xml:space="preserve">Inference Using Exported Cases.</w:t>
      </w:r>
      <w:r>
        <w:t xml:space="preserve"> </w:t>
      </w:r>
      <w:r>
        <w:rPr>
          <w:i/>
        </w:rPr>
        <w:t xml:space="preserve">J. Clin. Med.</w:t>
      </w:r>
      <w:r>
        <w:t xml:space="preserve"> </w:t>
      </w:r>
      <w:r>
        <w:rPr>
          <w:b/>
        </w:rPr>
        <w:t xml:space="preserve">9</w:t>
      </w:r>
      <w:r>
        <w:t xml:space="preserve"> </w:t>
      </w:r>
      <w:r>
        <w:t xml:space="preserve">, 523,</w:t>
      </w:r>
      <w:r>
        <w:t xml:space="preserve"> </w:t>
      </w:r>
      <w:r>
        <w:t xml:space="preserve">DOI: 10.3390/jcm9020523.</w:t>
      </w:r>
    </w:p>
    <w:p>
      <w:pPr>
        <w:pStyle w:val="BodyText"/>
      </w:pPr>
      <w:r>
        <w:t xml:space="preserve">Kucharski, A.J., T.W. Russell, C. Diamond, Y. Liu, J. Edmunds, S. Funk,</w:t>
      </w:r>
      <w:r>
        <w:t xml:space="preserve"> </w:t>
      </w:r>
      <w:r>
        <w:t xml:space="preserve">R.M. Eggo, F. Sun, M. Jit, J.D. Munday, N. Davies, A. Gimma, K. van</w:t>
      </w:r>
      <w:r>
        <w:t xml:space="preserve"> </w:t>
      </w:r>
      <w:r>
        <w:t xml:space="preserve">Zandvoort, H. Gibbs, J. Hellewell, C.I. Jarvis, S. Clifford, B.J.</w:t>
      </w:r>
      <w:r>
        <w:t xml:space="preserve"> </w:t>
      </w:r>
      <w:r>
        <w:t xml:space="preserve">Quilty, N.I. Bosse, S. Abbott, P. Klepac, and S. Flasche, 2020: Early</w:t>
      </w:r>
      <w:r>
        <w:t xml:space="preserve"> </w:t>
      </w:r>
      <w:r>
        <w:t xml:space="preserve">dynamics of transmission and control of COVID-19: a mathematical</w:t>
      </w:r>
      <w:r>
        <w:t xml:space="preserve"> </w:t>
      </w:r>
      <w:r>
        <w:t xml:space="preserve">modelling study.</w:t>
      </w:r>
      <w:r>
        <w:t xml:space="preserve"> </w:t>
      </w:r>
      <w:r>
        <w:rPr>
          <w:i/>
        </w:rPr>
        <w:t xml:space="preserve">Lancet Infect. Dis.</w:t>
      </w:r>
      <w:r>
        <w:t xml:space="preserve"> </w:t>
      </w:r>
      <w:r>
        <w:rPr>
          <w:b/>
        </w:rPr>
        <w:t xml:space="preserve">20</w:t>
      </w:r>
      <w:r>
        <w:t xml:space="preserve"> </w:t>
      </w:r>
      <w:r>
        <w:t xml:space="preserve">, 553–558, DOI:</w:t>
      </w:r>
      <w:r>
        <w:t xml:space="preserve"> </w:t>
      </w:r>
      <w:r>
        <w:t xml:space="preserve">10.1016/S1473-3099(20)30144-4.</w:t>
      </w:r>
    </w:p>
    <w:p>
      <w:pPr>
        <w:pStyle w:val="BodyText"/>
      </w:pPr>
      <w:r>
        <w:t xml:space="preserve">Lai, C.C., T.P. Shih, W.C. Ko, H.J. Tang, and P.R. Hsueh, 2020: Severe</w:t>
      </w:r>
      <w:r>
        <w:t xml:space="preserve"> </w:t>
      </w:r>
      <w:r>
        <w:t xml:space="preserve">acute respiratory syndrome coronavirus 2 (SARS-CoV-2) and coronavirus</w:t>
      </w:r>
      <w:r>
        <w:t xml:space="preserve"> </w:t>
      </w:r>
      <w:r>
        <w:t xml:space="preserve">disease-2019 (COVID-19): The epidemic and the challenges.</w:t>
      </w:r>
      <w:r>
        <w:t xml:space="preserve"> </w:t>
      </w:r>
      <w:r>
        <w:rPr>
          <w:i/>
        </w:rPr>
        <w:t xml:space="preserve">Int. J.</w:t>
      </w:r>
      <w:r>
        <w:rPr>
          <w:i/>
        </w:rPr>
        <w:t xml:space="preserve"> </w:t>
      </w:r>
      <w:r>
        <w:rPr>
          <w:i/>
        </w:rPr>
        <w:t xml:space="preserve">Antimicrob. Agents</w:t>
      </w:r>
      <w:r>
        <w:t xml:space="preserve"> </w:t>
      </w:r>
      <w:r>
        <w:rPr>
          <w:b/>
        </w:rPr>
        <w:t xml:space="preserve">55</w:t>
      </w:r>
      <w:r>
        <w:t xml:space="preserve"> </w:t>
      </w:r>
      <w:r>
        <w:t xml:space="preserve">, 105924, DOI:</w:t>
      </w:r>
      <w:r>
        <w:t xml:space="preserve"> </w:t>
      </w:r>
      <w:r>
        <w:t xml:space="preserve">10.1016/j.ijantimicag.2020.105924.</w:t>
      </w:r>
    </w:p>
    <w:p>
      <w:pPr>
        <w:pStyle w:val="BodyText"/>
      </w:pPr>
      <w:r>
        <w:t xml:space="preserve">Lauer, S.A., K.H. Grantz, Q. Bi, F.K. Jones, Q. Zheng, H.R. Meredith,</w:t>
      </w:r>
      <w:r>
        <w:t xml:space="preserve"> </w:t>
      </w:r>
      <w:r>
        <w:t xml:space="preserve">A.S. Azman, N.G. Reich, and J. Lessler, 2020: The incubation period of</w:t>
      </w:r>
      <w:r>
        <w:t xml:space="preserve"> </w:t>
      </w:r>
      <w:r>
        <w:t xml:space="preserve">coronavirus disease 2019 (CoVID-19) from publicly reported confirmed</w:t>
      </w:r>
      <w:r>
        <w:t xml:space="preserve"> </w:t>
      </w:r>
      <w:r>
        <w:t xml:space="preserve">cases: Estimation and application.</w:t>
      </w:r>
      <w:r>
        <w:t xml:space="preserve"> </w:t>
      </w:r>
      <w:r>
        <w:rPr>
          <w:i/>
        </w:rPr>
        <w:t xml:space="preserve">Ann. Intern. Med.</w:t>
      </w:r>
      <w:r>
        <w:rPr>
          <w:b/>
        </w:rPr>
        <w:t xml:space="preserve">172</w:t>
      </w:r>
      <w:r>
        <w:t xml:space="preserve"> </w:t>
      </w:r>
      <w:r>
        <w:t xml:space="preserve">, 577–582, DOI: 10.7326/M20-0504.</w:t>
      </w:r>
    </w:p>
    <w:p>
      <w:pPr>
        <w:pStyle w:val="BodyText"/>
      </w:pPr>
      <w:r>
        <w:t xml:space="preserve">Lechien, J.R., C.M. Chiesa-Estomba, D.R. De Siati, M. Horoi, S.D. Le</w:t>
      </w:r>
      <w:r>
        <w:t xml:space="preserve"> </w:t>
      </w:r>
      <w:r>
        <w:t xml:space="preserve">Bon, A. Rodriguez, D. Dequanter, S. Blecic, F. El Afia, L. Distinguin,</w:t>
      </w:r>
      <w:r>
        <w:t xml:space="preserve"> </w:t>
      </w:r>
      <w:r>
        <w:t xml:space="preserve">Y. Chekkoury-Idrissi, S. Hans, I.L. Delgado, C. Calvo-Henriquez, P.</w:t>
      </w:r>
      <w:r>
        <w:t xml:space="preserve"> </w:t>
      </w:r>
      <w:r>
        <w:t xml:space="preserve">Lavigne, C. Falanga, M.R. Barillari, G. Cammaroto, M. Khalife, P. Leich,</w:t>
      </w:r>
      <w:r>
        <w:t xml:space="preserve"> </w:t>
      </w:r>
      <w:r>
        <w:t xml:space="preserve">C. Souchay, C. Rossi, F. Journe, J. Hsieh, M. Edjlali, R. Carlier, L.</w:t>
      </w:r>
      <w:r>
        <w:t xml:space="preserve"> </w:t>
      </w:r>
      <w:r>
        <w:t xml:space="preserve">Ris, A. Lovato, C. De Filippis, F. Coppee, N. Fakhry, T. Ayad, and S.</w:t>
      </w:r>
      <w:r>
        <w:t xml:space="preserve"> </w:t>
      </w:r>
      <w:r>
        <w:t xml:space="preserve">Saussez, 2020: Olfactory and gustatory dysfunctions as a clinical</w:t>
      </w:r>
      <w:r>
        <w:t xml:space="preserve"> </w:t>
      </w:r>
      <w:r>
        <w:t xml:space="preserve">presentation of mild-to-moderate forms of the coronavirus disease</w:t>
      </w:r>
      <w:r>
        <w:t xml:space="preserve"> </w:t>
      </w:r>
      <w:r>
        <w:t xml:space="preserve">(COVID-19): a multicenter European study.</w:t>
      </w:r>
      <w:r>
        <w:t xml:space="preserve"> </w:t>
      </w:r>
      <w:r>
        <w:rPr>
          <w:i/>
        </w:rPr>
        <w:t xml:space="preserve">Eur. Arch.</w:t>
      </w:r>
      <w:r>
        <w:rPr>
          <w:i/>
        </w:rPr>
        <w:t xml:space="preserve"> </w:t>
      </w:r>
      <w:r>
        <w:rPr>
          <w:i/>
        </w:rPr>
        <w:t xml:space="preserve">Oto-Rhino-Laryngology</w:t>
      </w:r>
      <w:r>
        <w:t xml:space="preserve"> </w:t>
      </w:r>
      <w:r>
        <w:rPr>
          <w:b/>
        </w:rPr>
        <w:t xml:space="preserve">2</w:t>
      </w:r>
      <w:r>
        <w:t xml:space="preserve"> </w:t>
      </w:r>
      <w:r>
        <w:t xml:space="preserve">, DOI: 10.1007/s00405-020-05965-1.</w:t>
      </w:r>
    </w:p>
    <w:p>
      <w:pPr>
        <w:pStyle w:val="BodyText"/>
      </w:pPr>
      <w:r>
        <w:t xml:space="preserve">Leng, Z., R. Zhu, W. Hou, Y. Feng, Y. Yang, Q. Han, G. Shan, F. Meng, D.</w:t>
      </w:r>
      <w:r>
        <w:t xml:space="preserve"> </w:t>
      </w:r>
      <w:r>
        <w:t xml:space="preserve">Du, S. Wang, J. Fan, W. Wang, L. Deng, H. Shi, H. Li, Z. Hu, F. Zhang,</w:t>
      </w:r>
      <w:r>
        <w:t xml:space="preserve"> </w:t>
      </w:r>
      <w:r>
        <w:t xml:space="preserve">J. Gao, H. Liu, X. Li, Y. Zhao, K. Yin, X. He, Z. Gao, Y. Wang, B. Yang,</w:t>
      </w:r>
      <w:r>
        <w:t xml:space="preserve"> </w:t>
      </w:r>
      <w:r>
        <w:t xml:space="preserve">R. Jin, I. Stambler, L.W. Lim, H. Su, A. Moskalev, A. Cano, S.</w:t>
      </w:r>
      <w:r>
        <w:t xml:space="preserve"> </w:t>
      </w:r>
      <w:r>
        <w:t xml:space="preserve">Chakrabarti, K.J. Min, G. Ellison-Hughes, C. Caruso, K. Jin, and R.C.</w:t>
      </w:r>
      <w:r>
        <w:t xml:space="preserve"> </w:t>
      </w:r>
      <w:r>
        <w:t xml:space="preserve">Zhao, 2020: Transplantation of ACE2- Mesenchymal stem cells improves the</w:t>
      </w:r>
      <w:r>
        <w:t xml:space="preserve"> </w:t>
      </w:r>
      <w:r>
        <w:t xml:space="preserve">outcome of patients with covid-19 pneumonia.</w:t>
      </w:r>
      <w:r>
        <w:t xml:space="preserve"> </w:t>
      </w:r>
      <w:r>
        <w:rPr>
          <w:i/>
        </w:rPr>
        <w:t xml:space="preserve">Aging</w:t>
      </w:r>
      <w:r>
        <w:rPr>
          <w:i/>
        </w:rPr>
        <w:t xml:space="preserve"> </w:t>
      </w:r>
      <w:r>
        <w:rPr>
          <w:i/>
        </w:rPr>
        <w:t xml:space="preserve">Dis.</w:t>
      </w:r>
      <w:r>
        <w:rPr>
          <w:b/>
        </w:rPr>
        <w:t xml:space="preserve">11</w:t>
      </w:r>
      <w:r>
        <w:t xml:space="preserve"> </w:t>
      </w:r>
      <w:r>
        <w:t xml:space="preserve">, 216–228, DOI: 10.14336/AD.2020.0228.</w:t>
      </w:r>
    </w:p>
    <w:p>
      <w:pPr>
        <w:pStyle w:val="BodyText"/>
      </w:pPr>
      <w:r>
        <w:t xml:space="preserve">Li, Y., and L. Xia, 2020: Coronavirus disease 2019 (COVID-19): Role of</w:t>
      </w:r>
      <w:r>
        <w:t xml:space="preserve"> </w:t>
      </w:r>
      <w:r>
        <w:t xml:space="preserve">chest CT in diagnosis and management.</w:t>
      </w:r>
      <w:r>
        <w:t xml:space="preserve"> </w:t>
      </w:r>
      <w:r>
        <w:rPr>
          <w:i/>
        </w:rPr>
        <w:t xml:space="preserve">Am. J.</w:t>
      </w:r>
      <w:r>
        <w:rPr>
          <w:i/>
        </w:rPr>
        <w:t xml:space="preserve"> </w:t>
      </w:r>
      <w:r>
        <w:rPr>
          <w:i/>
        </w:rPr>
        <w:t xml:space="preserve">Roentgenol.</w:t>
      </w:r>
      <w:r>
        <w:rPr>
          <w:b/>
        </w:rPr>
        <w:t xml:space="preserve">214</w:t>
      </w:r>
      <w:r>
        <w:t xml:space="preserve"> </w:t>
      </w:r>
      <w:r>
        <w:t xml:space="preserve">, 1280–1286, DOI: 10.2214/AJR.20.22954.</w:t>
      </w:r>
    </w:p>
    <w:p>
      <w:pPr>
        <w:pStyle w:val="BodyText"/>
      </w:pPr>
      <w:r>
        <w:t xml:space="preserve">Lim, J., S. Jeon, H.Y. Shin, M.J. Kim, Y.M. Seong, W.J. Lee, K.W. Choe,</w:t>
      </w:r>
      <w:r>
        <w:t xml:space="preserve"> </w:t>
      </w:r>
      <w:r>
        <w:t xml:space="preserve">Y.M. Kang, B. Lee, and S.J. Park, 2020: The Author’s response: Case of</w:t>
      </w:r>
      <w:r>
        <w:t xml:space="preserve"> </w:t>
      </w:r>
      <w:r>
        <w:t xml:space="preserve">the index patient who caused tertiary transmission of coronavirus</w:t>
      </w:r>
      <w:r>
        <w:t xml:space="preserve"> </w:t>
      </w:r>
      <w:r>
        <w:t xml:space="preserve">disease 2019 in Korea: The Application of lopinavir/ritonavir for the</w:t>
      </w:r>
      <w:r>
        <w:t xml:space="preserve"> </w:t>
      </w:r>
      <w:r>
        <w:t xml:space="preserve">treatment of COVID-19 pneumonia monitored by quantitative</w:t>
      </w:r>
      <w:r>
        <w:t xml:space="preserve"> </w:t>
      </w:r>
      <w:r>
        <w:t xml:space="preserve">RT-PCR.</w:t>
      </w:r>
      <w:r>
        <w:rPr>
          <w:i/>
        </w:rPr>
        <w:t xml:space="preserve">J. Korean Med. Sci.</w:t>
      </w:r>
      <w:r>
        <w:t xml:space="preserve"> </w:t>
      </w:r>
      <w:r>
        <w:rPr>
          <w:b/>
        </w:rPr>
        <w:t xml:space="preserve">35</w:t>
      </w:r>
      <w:r>
        <w:t xml:space="preserve"> </w:t>
      </w:r>
      <w:r>
        <w:t xml:space="preserve">, 1–6, DOI:</w:t>
      </w:r>
      <w:r>
        <w:t xml:space="preserve"> </w:t>
      </w:r>
      <w:r>
        <w:t xml:space="preserve">10.3346/jkms.2020.35.e89.</w:t>
      </w:r>
    </w:p>
    <w:p>
      <w:pPr>
        <w:pStyle w:val="BodyText"/>
      </w:pPr>
      <w:r>
        <w:t xml:space="preserve">Meng, L., F. Hua, and Z. Bian, 2020: Coronavirus Disease 2019</w:t>
      </w:r>
      <w:r>
        <w:t xml:space="preserve"> </w:t>
      </w:r>
      <w:r>
        <w:t xml:space="preserve">(COVID-19): Emerging and Future Challenges for Dental and Oral</w:t>
      </w:r>
      <w:r>
        <w:t xml:space="preserve"> </w:t>
      </w:r>
      <w:r>
        <w:t xml:space="preserve">Medicine.</w:t>
      </w:r>
      <w:r>
        <w:rPr>
          <w:i/>
        </w:rPr>
        <w:t xml:space="preserve">J. Dent. Res.</w:t>
      </w:r>
      <w:r>
        <w:t xml:space="preserve"> </w:t>
      </w:r>
      <w:r>
        <w:rPr>
          <w:b/>
        </w:rPr>
        <w:t xml:space="preserve">99</w:t>
      </w:r>
      <w:r>
        <w:t xml:space="preserve"> </w:t>
      </w:r>
      <w:r>
        <w:t xml:space="preserve">, 481–487, DOI:</w:t>
      </w:r>
      <w:r>
        <w:t xml:space="preserve"> </w:t>
      </w:r>
      <w:r>
        <w:t xml:space="preserve">10.1177/0022034520914246.</w:t>
      </w:r>
    </w:p>
    <w:p>
      <w:pPr>
        <w:pStyle w:val="BodyText"/>
      </w:pPr>
      <w:r>
        <w:t xml:space="preserve">Mizumoto, K., K. Kagaya, A. Zarebski, and G. Chowell, 2020: Estimating</w:t>
      </w:r>
      <w:r>
        <w:t xml:space="preserve"> </w:t>
      </w:r>
      <w:r>
        <w:t xml:space="preserve">the asymptomatic proportion of coronavirus disease 2019 (COVID-19) cases</w:t>
      </w:r>
      <w:r>
        <w:t xml:space="preserve"> </w:t>
      </w:r>
      <w:r>
        <w:t xml:space="preserve">on board the Diamond Princess cruise ship, Yokohama, Japan,</w:t>
      </w:r>
      <w:r>
        <w:t xml:space="preserve"> </w:t>
      </w:r>
      <w:r>
        <w:t xml:space="preserve">2020.</w:t>
      </w:r>
      <w:r>
        <w:rPr>
          <w:i/>
        </w:rPr>
        <w:t xml:space="preserve">Eurosurveillance</w:t>
      </w:r>
      <w:r>
        <w:t xml:space="preserve"> </w:t>
      </w:r>
      <w:r>
        <w:rPr>
          <w:b/>
        </w:rPr>
        <w:t xml:space="preserve">25</w:t>
      </w:r>
      <w:r>
        <w:t xml:space="preserve"> </w:t>
      </w:r>
      <w:r>
        <w:t xml:space="preserve">, 1–5, DOI:</w:t>
      </w:r>
      <w:r>
        <w:t xml:space="preserve"> </w:t>
      </w:r>
      <w:r>
        <w:t xml:space="preserve">10.2807/1560-7917.ES.2020.25.10.2000180.</w:t>
      </w:r>
    </w:p>
    <w:p>
      <w:pPr>
        <w:pStyle w:val="BodyText"/>
      </w:pPr>
      <w:r>
        <w:t xml:space="preserve">Pan, F., T. Ye, P. Sun, S. Gui, B. Liang, L. Li, D. Zheng, J. Wang, R.L.</w:t>
      </w:r>
      <w:r>
        <w:t xml:space="preserve"> </w:t>
      </w:r>
      <w:r>
        <w:t xml:space="preserve">Hesketh, L. Yang, and C. Zheng, 2020: Time course of lung changes at</w:t>
      </w:r>
      <w:r>
        <w:t xml:space="preserve"> </w:t>
      </w:r>
      <w:r>
        <w:t xml:space="preserve">chest CT during recovery from Coronavirus disease 2019</w:t>
      </w:r>
      <w:r>
        <w:t xml:space="preserve"> </w:t>
      </w:r>
      <w:r>
        <w:t xml:space="preserve">(COVID-19).</w:t>
      </w:r>
      <w:r>
        <w:rPr>
          <w:i/>
        </w:rPr>
        <w:t xml:space="preserve">Radiology</w:t>
      </w:r>
      <w:r>
        <w:t xml:space="preserve"> </w:t>
      </w:r>
      <w:r>
        <w:rPr>
          <w:b/>
        </w:rPr>
        <w:t xml:space="preserve">295</w:t>
      </w:r>
      <w:r>
        <w:t xml:space="preserve"> </w:t>
      </w:r>
      <w:r>
        <w:t xml:space="preserve">, 715–721, DOI:</w:t>
      </w:r>
      <w:r>
        <w:t xml:space="preserve"> </w:t>
      </w:r>
      <w:r>
        <w:t xml:space="preserve">10.1148/radiol.2020200370.</w:t>
      </w:r>
    </w:p>
    <w:p>
      <w:pPr>
        <w:pStyle w:val="BodyText"/>
      </w:pPr>
      <w:r>
        <w:t xml:space="preserve">Porcheddu, R., C. Serra, D. Kelvin, N. Kelvin, and S. Rubino, 2020:</w:t>
      </w:r>
      <w:r>
        <w:t xml:space="preserve"> </w:t>
      </w:r>
      <w:r>
        <w:t xml:space="preserve">Similarity in Case Fatality Rates (CFR) of COVID-19/SARS-COV-2 in Italy</w:t>
      </w:r>
      <w:r>
        <w:t xml:space="preserve"> </w:t>
      </w:r>
      <w:r>
        <w:t xml:space="preserve">and China.</w:t>
      </w:r>
      <w:r>
        <w:t xml:space="preserve"> </w:t>
      </w:r>
      <w:r>
        <w:rPr>
          <w:i/>
        </w:rPr>
        <w:t xml:space="preserve">J. Infect. Dev. Ctries.</w:t>
      </w:r>
      <w:r>
        <w:t xml:space="preserve"> </w:t>
      </w:r>
      <w:r>
        <w:rPr>
          <w:b/>
        </w:rPr>
        <w:t xml:space="preserve">14</w:t>
      </w:r>
      <w:r>
        <w:t xml:space="preserve"> </w:t>
      </w:r>
      <w:r>
        <w:t xml:space="preserve">, 125–128, DOI:</w:t>
      </w:r>
      <w:r>
        <w:t xml:space="preserve"> </w:t>
      </w:r>
      <w:r>
        <w:t xml:space="preserve">10.3855/jidc.12600.</w:t>
      </w:r>
    </w:p>
    <w:p>
      <w:pPr>
        <w:pStyle w:val="BodyText"/>
      </w:pPr>
      <w:r>
        <w:t xml:space="preserve">Prem, K., Y. Liu, T.W. Russell, A.J. Kucharski, R.M. Eggo, N. Davies, S.</w:t>
      </w:r>
      <w:r>
        <w:t xml:space="preserve"> </w:t>
      </w:r>
      <w:r>
        <w:t xml:space="preserve">Flasche, S. Clifford, C.A.B. Pearson, J.D. Munday, S. Abbott, H. Gibbs,</w:t>
      </w:r>
      <w:r>
        <w:t xml:space="preserve"> </w:t>
      </w:r>
      <w:r>
        <w:t xml:space="preserve">A. Rosello, B.J. Quilty, T. Jombart, F. Sun, C. Diamond, A. Gimma, K.</w:t>
      </w:r>
      <w:r>
        <w:t xml:space="preserve"> </w:t>
      </w:r>
      <w:r>
        <w:t xml:space="preserve">van Zandvoort, S. Funk, C.I. Jarvis, W.J. Edmunds, N.I. Bosse, J.</w:t>
      </w:r>
      <w:r>
        <w:t xml:space="preserve"> </w:t>
      </w:r>
      <w:r>
        <w:t xml:space="preserve">Hellewell, M. Jit, and P. Klepac, 2020: The effect of control strategies</w:t>
      </w:r>
      <w:r>
        <w:t xml:space="preserve"> </w:t>
      </w:r>
      <w:r>
        <w:t xml:space="preserve">to reduce social mixing on outcomes of the COVID-19 epidemic in Wuhan,</w:t>
      </w:r>
      <w:r>
        <w:t xml:space="preserve"> </w:t>
      </w:r>
      <w:r>
        <w:t xml:space="preserve">China: a modelling study.</w:t>
      </w:r>
      <w:r>
        <w:t xml:space="preserve"> </w:t>
      </w:r>
      <w:r>
        <w:rPr>
          <w:i/>
        </w:rPr>
        <w:t xml:space="preserve">Lancet Public Heal.</w:t>
      </w:r>
      <w:r>
        <w:t xml:space="preserve"> </w:t>
      </w:r>
      <w:r>
        <w:rPr>
          <w:b/>
        </w:rPr>
        <w:t xml:space="preserve">5</w:t>
      </w:r>
      <w:r>
        <w:t xml:space="preserve"> </w:t>
      </w:r>
      <w:r>
        <w:t xml:space="preserve">,</w:t>
      </w:r>
      <w:r>
        <w:t xml:space="preserve"> </w:t>
      </w:r>
      <w:r>
        <w:t xml:space="preserve">e261–e270, DOI: 10.1016/S2468-2667(20)30073-6.</w:t>
      </w:r>
    </w:p>
    <w:p>
      <w:pPr>
        <w:pStyle w:val="BodyText"/>
      </w:pPr>
      <w:r>
        <w:t xml:space="preserve">Qin, C., F. Liu, T.C. Yen, and X. Lan, 2020: 18F-FDG PET/CT findings of</w:t>
      </w:r>
      <w:r>
        <w:t xml:space="preserve"> </w:t>
      </w:r>
      <w:r>
        <w:t xml:space="preserve">COVID-19: a series of four highly suspected cases.</w:t>
      </w:r>
      <w:r>
        <w:t xml:space="preserve"> </w:t>
      </w:r>
      <w:r>
        <w:rPr>
          <w:i/>
        </w:rPr>
        <w:t xml:space="preserve">Eur. J. Nucl.</w:t>
      </w:r>
      <w:r>
        <w:rPr>
          <w:i/>
        </w:rPr>
        <w:t xml:space="preserve"> </w:t>
      </w:r>
      <w:r>
        <w:rPr>
          <w:i/>
        </w:rPr>
        <w:t xml:space="preserve">Med. Mol. Imaging</w:t>
      </w:r>
      <w:r>
        <w:t xml:space="preserve"> </w:t>
      </w:r>
      <w:r>
        <w:rPr>
          <w:b/>
        </w:rPr>
        <w:t xml:space="preserve">47</w:t>
      </w:r>
      <w:r>
        <w:t xml:space="preserve"> </w:t>
      </w:r>
      <w:r>
        <w:t xml:space="preserve">, 1281–1286, DOI:</w:t>
      </w:r>
      <w:r>
        <w:t xml:space="preserve"> </w:t>
      </w:r>
      <w:r>
        <w:t xml:space="preserve">10.1007/s00259-020-04734-w.</w:t>
      </w:r>
    </w:p>
    <w:p>
      <w:pPr>
        <w:pStyle w:val="BodyText"/>
      </w:pPr>
      <w:r>
        <w:t xml:space="preserve">Qiu, H., J. Wu, L. Hong, Y. Luo, Q. Song, and D. Chen, 2020: Clinical</w:t>
      </w:r>
      <w:r>
        <w:t xml:space="preserve"> </w:t>
      </w:r>
      <w:r>
        <w:t xml:space="preserve">and epidemiological features of 36 children with coronavirus disease</w:t>
      </w:r>
      <w:r>
        <w:t xml:space="preserve"> </w:t>
      </w:r>
      <w:r>
        <w:t xml:space="preserve">2019 (COVID-19) in Zhejiang, China: an observational cohort</w:t>
      </w:r>
      <w:r>
        <w:t xml:space="preserve"> </w:t>
      </w:r>
      <w:r>
        <w:t xml:space="preserve">study.</w:t>
      </w:r>
      <w:r>
        <w:rPr>
          <w:i/>
        </w:rPr>
        <w:t xml:space="preserve">Lancet Infect. Dis.</w:t>
      </w:r>
      <w:r>
        <w:t xml:space="preserve"> </w:t>
      </w:r>
      <w:r>
        <w:rPr>
          <w:b/>
        </w:rPr>
        <w:t xml:space="preserve">20</w:t>
      </w:r>
      <w:r>
        <w:t xml:space="preserve"> </w:t>
      </w:r>
      <w:r>
        <w:t xml:space="preserve">, 689–696, DOI:</w:t>
      </w:r>
      <w:r>
        <w:t xml:space="preserve"> </w:t>
      </w:r>
      <w:r>
        <w:t xml:space="preserve">10.1016/S1473-3099(20)30198-5.</w:t>
      </w:r>
    </w:p>
    <w:p>
      <w:pPr>
        <w:pStyle w:val="BodyText"/>
      </w:pPr>
      <w:r>
        <w:t xml:space="preserve">Remuzzi, A., and G. Remuzzi, 2020: COVID-19 and Italy: what</w:t>
      </w:r>
      <w:r>
        <w:t xml:space="preserve"> </w:t>
      </w:r>
      <w:r>
        <w:t xml:space="preserve">next?</w:t>
      </w:r>
      <w:r>
        <w:rPr>
          <w:i/>
        </w:rPr>
        <w:t xml:space="preserve">Lancet</w:t>
      </w:r>
      <w:r>
        <w:t xml:space="preserve"> </w:t>
      </w:r>
      <w:r>
        <w:rPr>
          <w:b/>
        </w:rPr>
        <w:t xml:space="preserve">395</w:t>
      </w:r>
      <w:r>
        <w:t xml:space="preserve"> </w:t>
      </w:r>
      <w:r>
        <w:t xml:space="preserve">, 1225–1228, DOI:</w:t>
      </w:r>
      <w:r>
        <w:t xml:space="preserve"> </w:t>
      </w:r>
      <w:r>
        <w:t xml:space="preserve">10.1016/S0140-6736(20)30627-9.</w:t>
      </w:r>
    </w:p>
    <w:p>
      <w:pPr>
        <w:pStyle w:val="BodyText"/>
      </w:pPr>
      <w:r>
        <w:t xml:space="preserve">Richardson, S., J.S. Hirsch, M. Narasimhan, J.M. Crawford, T. McGinn,</w:t>
      </w:r>
      <w:r>
        <w:t xml:space="preserve"> </w:t>
      </w:r>
      <w:r>
        <w:t xml:space="preserve">K.W. Davidson, D.P. Barnaby, L.B. Becker, J.D. Chelico, S.L. Cohen, J.</w:t>
      </w:r>
      <w:r>
        <w:t xml:space="preserve"> </w:t>
      </w:r>
      <w:r>
        <w:t xml:space="preserve">Cookingham, K. Coppa, M.A. Diefenbach, A.J. Dominello, J. Duer-Hefele,</w:t>
      </w:r>
      <w:r>
        <w:t xml:space="preserve"> </w:t>
      </w:r>
      <w:r>
        <w:t xml:space="preserve">L. Falzon, J. Gitlin, N. Hajizadeh, T.G. Harvin, D.A. Hirschwerk, E.J.</w:t>
      </w:r>
      <w:r>
        <w:t xml:space="preserve"> </w:t>
      </w:r>
      <w:r>
        <w:t xml:space="preserve">Kim, Z.M. Kozel, L.M. Marrast, J.N. Mogavero, G.A. Osorio, M. Qiu, and</w:t>
      </w:r>
      <w:r>
        <w:t xml:space="preserve"> </w:t>
      </w:r>
      <w:r>
        <w:t xml:space="preserve">T.P. Zanos, 2020: Presenting Characteristics, Comorbidities, and</w:t>
      </w:r>
      <w:r>
        <w:t xml:space="preserve"> </w:t>
      </w:r>
      <w:r>
        <w:t xml:space="preserve">Outcomes among 5700 Patients Hospitalized with COVID-19 in the New York</w:t>
      </w:r>
      <w:r>
        <w:t xml:space="preserve"> </w:t>
      </w:r>
      <w:r>
        <w:t xml:space="preserve">City Area.</w:t>
      </w:r>
      <w:r>
        <w:t xml:space="preserve"> </w:t>
      </w:r>
      <w:r>
        <w:rPr>
          <w:i/>
        </w:rPr>
        <w:t xml:space="preserve">JAMA - J. Am. Med. Assoc.</w:t>
      </w:r>
      <w:r>
        <w:t xml:space="preserve"> </w:t>
      </w:r>
      <w:r>
        <w:rPr>
          <w:b/>
        </w:rPr>
        <w:t xml:space="preserve">323</w:t>
      </w:r>
      <w:r>
        <w:t xml:space="preserve"> </w:t>
      </w:r>
      <w:r>
        <w:t xml:space="preserve">, 2052–2059,</w:t>
      </w:r>
      <w:r>
        <w:t xml:space="preserve"> </w:t>
      </w:r>
      <w:r>
        <w:t xml:space="preserve">DOI: 10.1001/jama.2020.6775.</w:t>
      </w:r>
    </w:p>
    <w:p>
      <w:pPr>
        <w:pStyle w:val="BodyText"/>
      </w:pPr>
      <w:r>
        <w:t xml:space="preserve">Shen, C., Z. Wang, F. Zhao, Y. Yang, J. Li, J. Yuan, F. Wang, D. Li, M.</w:t>
      </w:r>
      <w:r>
        <w:t xml:space="preserve"> </w:t>
      </w:r>
      <w:r>
        <w:t xml:space="preserve">Yang, L. Xing, J. Wei, H. Xiao, Y. Yang, J. Qu, L. Qing, L. Chen, Z. Xu,</w:t>
      </w:r>
      <w:r>
        <w:t xml:space="preserve"> </w:t>
      </w:r>
      <w:r>
        <w:t xml:space="preserve">L. Peng, Y. Li, H. Zheng, F. Chen, K. Huang, Y. Jiang, D. Liu, Z. Zhang,</w:t>
      </w:r>
      <w:r>
        <w:t xml:space="preserve"> </w:t>
      </w:r>
      <w:r>
        <w:t xml:space="preserve">Y. Liu, and L. Liu, 2020: Treatment of 5 Critically Ill Patients with</w:t>
      </w:r>
      <w:r>
        <w:t xml:space="preserve"> </w:t>
      </w:r>
      <w:r>
        <w:t xml:space="preserve">COVID-19 with Convalescent Plasma.</w:t>
      </w:r>
      <w:r>
        <w:t xml:space="preserve"> </w:t>
      </w:r>
      <w:r>
        <w:rPr>
          <w:i/>
        </w:rPr>
        <w:t xml:space="preserve">JAMA - J. Am. Med.</w:t>
      </w:r>
      <w:r>
        <w:rPr>
          <w:i/>
        </w:rPr>
        <w:t xml:space="preserve"> </w:t>
      </w:r>
      <w:r>
        <w:rPr>
          <w:i/>
        </w:rPr>
        <w:t xml:space="preserve">Assoc.</w:t>
      </w:r>
      <w:r>
        <w:rPr>
          <w:b/>
        </w:rPr>
        <w:t xml:space="preserve">323</w:t>
      </w:r>
      <w:r>
        <w:t xml:space="preserve"> </w:t>
      </w:r>
      <w:r>
        <w:t xml:space="preserve">, 1582–1589, DOI: 10.1001/jama.2020.4783.</w:t>
      </w:r>
    </w:p>
    <w:p>
      <w:pPr>
        <w:pStyle w:val="BodyText"/>
      </w:pPr>
      <w:r>
        <w:t xml:space="preserve">Shi, H., X. Han, N. Jiang, Y. Cao, O. Alwalid, J. Gu, Y. Fan, and C.</w:t>
      </w:r>
      <w:r>
        <w:t xml:space="preserve"> </w:t>
      </w:r>
      <w:r>
        <w:t xml:space="preserve">Zheng, 2020: Radiological findings from 81 patients with COVID-19</w:t>
      </w:r>
      <w:r>
        <w:t xml:space="preserve"> </w:t>
      </w:r>
      <w:r>
        <w:t xml:space="preserve">pneumonia in Wuhan, China: a descriptive study.</w:t>
      </w:r>
      <w:r>
        <w:t xml:space="preserve"> </w:t>
      </w:r>
      <w:r>
        <w:rPr>
          <w:i/>
        </w:rPr>
        <w:t xml:space="preserve">Lancet Infect.</w:t>
      </w:r>
      <w:r>
        <w:rPr>
          <w:i/>
        </w:rPr>
        <w:t xml:space="preserve"> </w:t>
      </w:r>
      <w:r>
        <w:rPr>
          <w:i/>
        </w:rPr>
        <w:t xml:space="preserve">Dis.</w:t>
      </w:r>
      <w:r>
        <w:t xml:space="preserve"> </w:t>
      </w:r>
      <w:r>
        <w:rPr>
          <w:b/>
        </w:rPr>
        <w:t xml:space="preserve">20</w:t>
      </w:r>
      <w:r>
        <w:t xml:space="preserve"> </w:t>
      </w:r>
      <w:r>
        <w:t xml:space="preserve">, 425–434, DOI: 10.1016/S1473-3099(20)30086-4.</w:t>
      </w:r>
    </w:p>
    <w:p>
      <w:pPr>
        <w:pStyle w:val="BodyText"/>
      </w:pPr>
      <w:r>
        <w:t xml:space="preserve">Thachil, J., N. Tang, S. Gando, A. Falanga, M. Cattaneo, M. Levi, C.</w:t>
      </w:r>
      <w:r>
        <w:t xml:space="preserve"> </w:t>
      </w:r>
      <w:r>
        <w:t xml:space="preserve">Clark, and T. Iba, 2020: ISTH interim guidance on recognition and</w:t>
      </w:r>
      <w:r>
        <w:t xml:space="preserve"> </w:t>
      </w:r>
      <w:r>
        <w:t xml:space="preserve">management of coagulopathy in COVID-19.</w:t>
      </w:r>
      <w:r>
        <w:t xml:space="preserve"> </w:t>
      </w:r>
      <w:r>
        <w:rPr>
          <w:i/>
        </w:rPr>
        <w:t xml:space="preserve">J. Thromb. Haemost.</w:t>
      </w:r>
      <w:r>
        <w:t xml:space="preserve"> </w:t>
      </w:r>
      <w:r>
        <w:t xml:space="preserve">1023–1026, DOI: 10.1111/jth.14810.</w:t>
      </w:r>
    </w:p>
    <w:p>
      <w:pPr>
        <w:pStyle w:val="BodyText"/>
      </w:pPr>
      <w:r>
        <w:t xml:space="preserve">Tian, Sijia, N. Hu, J. Lou, K. Chen, X. Kang, Z. Xiang, H. Chen, D.</w:t>
      </w:r>
      <w:r>
        <w:t xml:space="preserve"> </w:t>
      </w:r>
      <w:r>
        <w:t xml:space="preserve">Wang, N. Liu, D. Liu, G. Chen, Y. Zhang, D. Li, J. Li, H. Lian, S. Niu,</w:t>
      </w:r>
      <w:r>
        <w:t xml:space="preserve"> </w:t>
      </w:r>
      <w:r>
        <w:t xml:space="preserve">L. Zhang, and J. Zhang, 2020: Characteristics of COVID-19 infection in</w:t>
      </w:r>
      <w:r>
        <w:t xml:space="preserve"> </w:t>
      </w:r>
      <w:r>
        <w:t xml:space="preserve">Beijing.</w:t>
      </w:r>
      <w:r>
        <w:t xml:space="preserve"> </w:t>
      </w:r>
      <w:r>
        <w:rPr>
          <w:i/>
        </w:rPr>
        <w:t xml:space="preserve">J. Infect.</w:t>
      </w:r>
      <w:r>
        <w:t xml:space="preserve"> </w:t>
      </w:r>
      <w:r>
        <w:rPr>
          <w:b/>
        </w:rPr>
        <w:t xml:space="preserve">80</w:t>
      </w:r>
      <w:r>
        <w:t xml:space="preserve"> </w:t>
      </w:r>
      <w:r>
        <w:t xml:space="preserve">, 401–406, DOI:</w:t>
      </w:r>
      <w:r>
        <w:t xml:space="preserve"> </w:t>
      </w:r>
      <w:r>
        <w:t xml:space="preserve">10.1016/j.jinf.2020.02.018.</w:t>
      </w:r>
    </w:p>
    <w:p>
      <w:pPr>
        <w:pStyle w:val="BodyText"/>
      </w:pPr>
      <w:r>
        <w:t xml:space="preserve">Tian, Sufang, W. Hu, L. Niu, H. Liu, H. Xu, and S.Y. Xiao, 2020:</w:t>
      </w:r>
      <w:r>
        <w:t xml:space="preserve"> </w:t>
      </w:r>
      <w:r>
        <w:t xml:space="preserve">Pulmonary Pathology of Early-Phase 2019 Novel Coronavirus (COVID-19)</w:t>
      </w:r>
      <w:r>
        <w:t xml:space="preserve"> </w:t>
      </w:r>
      <w:r>
        <w:t xml:space="preserve">Pneumonia in Two Patients With Lung Cancer.</w:t>
      </w:r>
      <w:r>
        <w:t xml:space="preserve"> </w:t>
      </w:r>
      <w:r>
        <w:rPr>
          <w:i/>
        </w:rPr>
        <w:t xml:space="preserve">J. Thorac.</w:t>
      </w:r>
      <w:r>
        <w:rPr>
          <w:i/>
        </w:rPr>
        <w:t xml:space="preserve"> </w:t>
      </w:r>
      <w:r>
        <w:rPr>
          <w:i/>
        </w:rPr>
        <w:t xml:space="preserve">Oncol.</w:t>
      </w:r>
      <w:r>
        <w:rPr>
          <w:b/>
        </w:rPr>
        <w:t xml:space="preserve">15</w:t>
      </w:r>
      <w:r>
        <w:t xml:space="preserve"> </w:t>
      </w:r>
      <w:r>
        <w:t xml:space="preserve">, 700–704, DOI: 10.1016/j.jtho.2020.02.010.</w:t>
      </w:r>
    </w:p>
    <w:p>
      <w:pPr>
        <w:pStyle w:val="BodyText"/>
      </w:pPr>
      <w:r>
        <w:t xml:space="preserve">Ueda, M., R. Martins, P.C. Hendrie, T. McDonnell, J.R. Crews, T.L. Wong,</w:t>
      </w:r>
      <w:r>
        <w:t xml:space="preserve"> </w:t>
      </w:r>
      <w:r>
        <w:t xml:space="preserve">B. McCreery, B. Jagels, A. Crane, D.R. Byrd, S.A. Pergam, N.E. Davidson,</w:t>
      </w:r>
      <w:r>
        <w:t xml:space="preserve"> </w:t>
      </w:r>
      <w:r>
        <w:t xml:space="preserve">C. Liu, and F.M. Stewart, 2020: Managing Cancer Care During the COVID-19</w:t>
      </w:r>
      <w:r>
        <w:t xml:space="preserve"> </w:t>
      </w:r>
      <w:r>
        <w:t xml:space="preserve">Pandemic: Agility and Collaboration Toward a Common Goal.</w:t>
      </w:r>
      <w:r>
        <w:t xml:space="preserve"> </w:t>
      </w:r>
      <w:r>
        <w:rPr>
          <w:i/>
        </w:rPr>
        <w:t xml:space="preserve">J. Natl.</w:t>
      </w:r>
      <w:r>
        <w:rPr>
          <w:i/>
        </w:rPr>
        <w:t xml:space="preserve"> </w:t>
      </w:r>
      <w:r>
        <w:rPr>
          <w:i/>
        </w:rPr>
        <w:t xml:space="preserve">Compr. Canc. Netw.</w:t>
      </w:r>
      <w:r>
        <w:t xml:space="preserve"> </w:t>
      </w:r>
      <w:r>
        <w:rPr>
          <w:b/>
        </w:rPr>
        <w:t xml:space="preserve">18</w:t>
      </w:r>
      <w:r>
        <w:t xml:space="preserve"> </w:t>
      </w:r>
      <w:r>
        <w:t xml:space="preserve">, 1–4, DOI: 10.6004/jnccn.2020.7560.</w:t>
      </w:r>
    </w:p>
    <w:p>
      <w:pPr>
        <w:pStyle w:val="BodyText"/>
      </w:pPr>
      <w:r>
        <w:t xml:space="preserve">Vaduganathan, M., O. Vardeny, T. Michel, J.J.V. McMurray, M.A. Pfeffer,</w:t>
      </w:r>
      <w:r>
        <w:t xml:space="preserve"> </w:t>
      </w:r>
      <w:r>
        <w:t xml:space="preserve">and S.D. Solomon, 2020: Renin–Angiotensin–Aldosterone System</w:t>
      </w:r>
      <w:r>
        <w:t xml:space="preserve"> </w:t>
      </w:r>
      <w:r>
        <w:t xml:space="preserve">Inhibitors in Patients with Covid-19.</w:t>
      </w:r>
      <w:r>
        <w:t xml:space="preserve"> </w:t>
      </w:r>
      <w:r>
        <w:rPr>
          <w:i/>
        </w:rPr>
        <w:t xml:space="preserve">N. Engl. J.</w:t>
      </w:r>
      <w:r>
        <w:rPr>
          <w:i/>
        </w:rPr>
        <w:t xml:space="preserve"> </w:t>
      </w:r>
      <w:r>
        <w:rPr>
          <w:i/>
        </w:rPr>
        <w:t xml:space="preserve">Med.</w:t>
      </w:r>
      <w:r>
        <w:rPr>
          <w:b/>
        </w:rPr>
        <w:t xml:space="preserve">382</w:t>
      </w:r>
      <w:r>
        <w:t xml:space="preserve"> </w:t>
      </w:r>
      <w:r>
        <w:t xml:space="preserve">, 1653–1659, DOI: 10.1056/NEJMsr2005760.</w:t>
      </w:r>
    </w:p>
    <w:p>
      <w:pPr>
        <w:pStyle w:val="BodyText"/>
      </w:pPr>
      <w:r>
        <w:t xml:space="preserve">Wan, S., Y. Xiang, W. Fang, Y. Zheng, B. Li, Y. Hu, C. Lang, D. Huang,</w:t>
      </w:r>
      <w:r>
        <w:t xml:space="preserve"> </w:t>
      </w:r>
      <w:r>
        <w:t xml:space="preserve">Q. Sun, Y. Xiong, X. Huang, J. Lv, Y. Luo, L. Shen, H. Yang, G. Huang,</w:t>
      </w:r>
      <w:r>
        <w:t xml:space="preserve"> </w:t>
      </w:r>
      <w:r>
        <w:t xml:space="preserve">and R. Yang, 2020: Clinical features and treatment of COVID-19 patients</w:t>
      </w:r>
      <w:r>
        <w:t xml:space="preserve"> </w:t>
      </w:r>
      <w:r>
        <w:t xml:space="preserve">in northeast Chongqing.</w:t>
      </w:r>
      <w:r>
        <w:t xml:space="preserve"> </w:t>
      </w:r>
      <w:r>
        <w:rPr>
          <w:i/>
        </w:rPr>
        <w:t xml:space="preserve">J. Med. Virol.</w:t>
      </w:r>
      <w:r>
        <w:t xml:space="preserve"> </w:t>
      </w:r>
      <w:r>
        <w:t xml:space="preserve">1–10, DOI:</w:t>
      </w:r>
      <w:r>
        <w:t xml:space="preserve"> </w:t>
      </w:r>
      <w:r>
        <w:t xml:space="preserve">10.1002/jmv.25783.</w:t>
      </w:r>
    </w:p>
    <w:p>
      <w:pPr>
        <w:pStyle w:val="BodyText"/>
      </w:pPr>
      <w:r>
        <w:t xml:space="preserve">Wang, C., R. Pan, X. Wan, Y. Tan, L. Xu, C.S. Ho, and R.C. Ho, 2020:</w:t>
      </w:r>
      <w:r>
        <w:t xml:space="preserve"> </w:t>
      </w:r>
      <w:r>
        <w:t xml:space="preserve">Immediate psychological responses and associated factors during the</w:t>
      </w:r>
      <w:r>
        <w:t xml:space="preserve"> </w:t>
      </w:r>
      <w:r>
        <w:t xml:space="preserve">initial stage of the 2019 coronavirus disease (COVID-19) epidemic among</w:t>
      </w:r>
      <w:r>
        <w:t xml:space="preserve"> </w:t>
      </w:r>
      <w:r>
        <w:t xml:space="preserve">the general population in China.</w:t>
      </w:r>
      <w:r>
        <w:t xml:space="preserve"> </w:t>
      </w:r>
      <w:r>
        <w:rPr>
          <w:i/>
        </w:rPr>
        <w:t xml:space="preserve">Int. J. Environ. Res. Public</w:t>
      </w:r>
      <w:r>
        <w:rPr>
          <w:i/>
        </w:rPr>
        <w:t xml:space="preserve"> </w:t>
      </w:r>
      <w:r>
        <w:rPr>
          <w:i/>
        </w:rPr>
        <w:t xml:space="preserve">Health</w:t>
      </w:r>
      <w:r>
        <w:t xml:space="preserve"> </w:t>
      </w:r>
      <w:r>
        <w:rPr>
          <w:b/>
        </w:rPr>
        <w:t xml:space="preserve">17</w:t>
      </w:r>
      <w:r>
        <w:t xml:space="preserve"> </w:t>
      </w:r>
      <w:r>
        <w:t xml:space="preserve">, DOI: 10.3390/ijerph17051729.</w:t>
      </w:r>
    </w:p>
    <w:p>
      <w:pPr>
        <w:pStyle w:val="BodyText"/>
      </w:pPr>
      <w:r>
        <w:t xml:space="preserve">Wilder-Smith, A., C.J. Chiew, and V.J. Lee, 2020: Can we contain the</w:t>
      </w:r>
      <w:r>
        <w:t xml:space="preserve"> </w:t>
      </w:r>
      <w:r>
        <w:t xml:space="preserve">COVID-19 outbreak with the same measures as for SARS?</w:t>
      </w:r>
      <w:r>
        <w:t xml:space="preserve"> </w:t>
      </w:r>
      <w:r>
        <w:rPr>
          <w:i/>
        </w:rPr>
        <w:t xml:space="preserve">Lancet</w:t>
      </w:r>
      <w:r>
        <w:rPr>
          <w:i/>
        </w:rPr>
        <w:t xml:space="preserve"> </w:t>
      </w:r>
      <w:r>
        <w:rPr>
          <w:i/>
        </w:rPr>
        <w:t xml:space="preserve">Infect. Dis.</w:t>
      </w:r>
      <w:r>
        <w:t xml:space="preserve"> </w:t>
      </w:r>
      <w:r>
        <w:rPr>
          <w:b/>
        </w:rPr>
        <w:t xml:space="preserve">20</w:t>
      </w:r>
      <w:r>
        <w:t xml:space="preserve"> </w:t>
      </w:r>
      <w:r>
        <w:t xml:space="preserve">, e102–e107, DOI:</w:t>
      </w:r>
      <w:r>
        <w:t xml:space="preserve"> </w:t>
      </w:r>
      <w:r>
        <w:t xml:space="preserve">10.1016/S1473-3099(20)30129-8.</w:t>
      </w:r>
    </w:p>
    <w:p>
      <w:pPr>
        <w:pStyle w:val="BodyText"/>
      </w:pPr>
      <w:r>
        <w:t xml:space="preserve">Wu, J., W. Li, X. Shi, Z. Chen, B. Jiang, J. Liu, D. Wang, C. Liu, Y.</w:t>
      </w:r>
      <w:r>
        <w:t xml:space="preserve"> </w:t>
      </w:r>
      <w:r>
        <w:t xml:space="preserve">Meng, L. Cui, J. Yu, H. Cao, and L. Li, 2020: Early antiviral treatment</w:t>
      </w:r>
      <w:r>
        <w:t xml:space="preserve"> </w:t>
      </w:r>
      <w:r>
        <w:t xml:space="preserve">contributes to alleviate the severity and improve the prognosis of</w:t>
      </w:r>
      <w:r>
        <w:t xml:space="preserve"> </w:t>
      </w:r>
      <w:r>
        <w:t xml:space="preserve">patients with novel coronavirus disease (COVID-19).</w:t>
      </w:r>
      <w:r>
        <w:t xml:space="preserve"> </w:t>
      </w:r>
      <w:r>
        <w:rPr>
          <w:i/>
        </w:rPr>
        <w:t xml:space="preserve">J. Intern.</w:t>
      </w:r>
      <w:r>
        <w:rPr>
          <w:i/>
        </w:rPr>
        <w:t xml:space="preserve"> </w:t>
      </w:r>
      <w:r>
        <w:rPr>
          <w:i/>
        </w:rPr>
        <w:t xml:space="preserve">Med.</w:t>
      </w:r>
      <w:r>
        <w:t xml:space="preserve"> </w:t>
      </w:r>
      <w:r>
        <w:rPr>
          <w:b/>
        </w:rPr>
        <w:t xml:space="preserve">2</w:t>
      </w:r>
      <w:r>
        <w:t xml:space="preserve"> </w:t>
      </w:r>
      <w:r>
        <w:t xml:space="preserve">, 1–11, DOI: 10.1111/joim.13063.</w:t>
      </w:r>
    </w:p>
    <w:p>
      <w:pPr>
        <w:pStyle w:val="BodyText"/>
      </w:pPr>
      <w:r>
        <w:t xml:space="preserve">Xia, W., J. Shao, Y. Guo, X. Peng, Z. Li, and D. Hu, 2020: Clinical and</w:t>
      </w:r>
      <w:r>
        <w:t xml:space="preserve"> </w:t>
      </w:r>
      <w:r>
        <w:t xml:space="preserve">CT features in pediatric patients with COVID-19 infection: Different</w:t>
      </w:r>
      <w:r>
        <w:t xml:space="preserve"> </w:t>
      </w:r>
      <w:r>
        <w:t xml:space="preserve">points from adults.</w:t>
      </w:r>
      <w:r>
        <w:t xml:space="preserve"> </w:t>
      </w:r>
      <w:r>
        <w:rPr>
          <w:i/>
        </w:rPr>
        <w:t xml:space="preserve">Pediatr. Pulmonol.</w:t>
      </w:r>
      <w:r>
        <w:t xml:space="preserve"> </w:t>
      </w:r>
      <w:r>
        <w:rPr>
          <w:b/>
        </w:rPr>
        <w:t xml:space="preserve">55</w:t>
      </w:r>
      <w:r>
        <w:t xml:space="preserve"> </w:t>
      </w:r>
      <w:r>
        <w:t xml:space="preserve">, 1169–1174,</w:t>
      </w:r>
      <w:r>
        <w:t xml:space="preserve"> </w:t>
      </w:r>
      <w:r>
        <w:t xml:space="preserve">DOI: 10.1002/ppul.24718.</w:t>
      </w:r>
    </w:p>
    <w:p>
      <w:pPr>
        <w:pStyle w:val="BodyText"/>
      </w:pPr>
      <w:r>
        <w:t xml:space="preserve">Xu, Z., L. Shi, Y. Wang, J. Zhang, L. Huang, C. Zhang, S. Liu, P. Zhao,</w:t>
      </w:r>
      <w:r>
        <w:t xml:space="preserve"> </w:t>
      </w:r>
      <w:r>
        <w:t xml:space="preserve">H. Liu, L. Zhu, Y. Tai, C. Bai, T. Gao, J. Song, P. Xia, J. Dong, J.</w:t>
      </w:r>
      <w:r>
        <w:t xml:space="preserve"> </w:t>
      </w:r>
      <w:r>
        <w:t xml:space="preserve">Zhao, and F.S. Wang, 2020: Pathological findings of COVID-19 associated</w:t>
      </w:r>
      <w:r>
        <w:t xml:space="preserve"> </w:t>
      </w:r>
      <w:r>
        <w:t xml:space="preserve">with acute respiratory distress syndrome.</w:t>
      </w:r>
      <w:r>
        <w:t xml:space="preserve"> </w:t>
      </w:r>
      <w:r>
        <w:rPr>
          <w:i/>
        </w:rPr>
        <w:t xml:space="preserve">Lancet Respir.</w:t>
      </w:r>
      <w:r>
        <w:rPr>
          <w:i/>
        </w:rPr>
        <w:t xml:space="preserve"> </w:t>
      </w:r>
      <w:r>
        <w:rPr>
          <w:i/>
        </w:rPr>
        <w:t xml:space="preserve">Med.</w:t>
      </w:r>
      <w:r>
        <w:rPr>
          <w:b/>
        </w:rPr>
        <w:t xml:space="preserve">8</w:t>
      </w:r>
      <w:r>
        <w:t xml:space="preserve"> </w:t>
      </w:r>
      <w:r>
        <w:t xml:space="preserve">, 420–422, DOI: 10.1016/S2213-2600(20)30076-X.</w:t>
      </w:r>
    </w:p>
    <w:p>
      <w:pPr>
        <w:pStyle w:val="BodyText"/>
      </w:pPr>
      <w:r>
        <w:t xml:space="preserve">Yang, W., Q. Cao, L. Qin, X. Wang, Z. Cheng, A. Pan, J. Dai, Q. Sun, F.</w:t>
      </w:r>
      <w:r>
        <w:t xml:space="preserve"> </w:t>
      </w:r>
      <w:r>
        <w:t xml:space="preserve">Zhao, J. Qu, and F. Yan, 2020: Clinical characteristics and imaging</w:t>
      </w:r>
      <w:r>
        <w:t xml:space="preserve"> </w:t>
      </w:r>
      <w:r>
        <w:t xml:space="preserve">manifestations of the 2019 novel coronavirus disease (COVID-19):A</w:t>
      </w:r>
      <w:r>
        <w:t xml:space="preserve"> </w:t>
      </w:r>
      <w:r>
        <w:t xml:space="preserve">multi-center study in Wenzhou city, Zhejiang, China.</w:t>
      </w:r>
      <w:r>
        <w:t xml:space="preserve"> </w:t>
      </w:r>
      <w:r>
        <w:rPr>
          <w:i/>
        </w:rPr>
        <w:t xml:space="preserve">J.</w:t>
      </w:r>
      <w:r>
        <w:rPr>
          <w:i/>
        </w:rPr>
        <w:t xml:space="preserve"> </w:t>
      </w:r>
      <w:r>
        <w:rPr>
          <w:i/>
        </w:rPr>
        <w:t xml:space="preserve">Infect.</w:t>
      </w:r>
      <w:r>
        <w:rPr>
          <w:b/>
        </w:rPr>
        <w:t xml:space="preserve">80</w:t>
      </w:r>
      <w:r>
        <w:t xml:space="preserve"> </w:t>
      </w:r>
      <w:r>
        <w:t xml:space="preserve">, 388–393, DOI: 10.1016/j.jinf.2020.02.016.</w:t>
      </w:r>
    </w:p>
    <w:p>
      <w:pPr>
        <w:pStyle w:val="BodyText"/>
      </w:pPr>
      <w:r>
        <w:t xml:space="preserve">Yoon, S.H., K.H. Lee, J.Y. Kim, Y.K. Lee, H. Ko, K.H. Kim, C.M. Park,</w:t>
      </w:r>
      <w:r>
        <w:t xml:space="preserve"> </w:t>
      </w:r>
      <w:r>
        <w:t xml:space="preserve">and Y.H. Kim, 2020: Chest radiographic and ct findings of the 2019 novel</w:t>
      </w:r>
      <w:r>
        <w:t xml:space="preserve"> </w:t>
      </w:r>
      <w:r>
        <w:t xml:space="preserve">coronavirus disease (Covid-19): Analysis of nine patients treated in</w:t>
      </w:r>
      <w:r>
        <w:t xml:space="preserve"> </w:t>
      </w:r>
      <w:r>
        <w:t xml:space="preserve">korea.</w:t>
      </w:r>
      <w:r>
        <w:t xml:space="preserve"> </w:t>
      </w:r>
      <w:r>
        <w:rPr>
          <w:i/>
        </w:rPr>
        <w:t xml:space="preserve">Korean J. Radiol.</w:t>
      </w:r>
      <w:r>
        <w:t xml:space="preserve"> </w:t>
      </w:r>
      <w:r>
        <w:rPr>
          <w:b/>
        </w:rPr>
        <w:t xml:space="preserve">21</w:t>
      </w:r>
      <w:r>
        <w:t xml:space="preserve"> </w:t>
      </w:r>
      <w:r>
        <w:t xml:space="preserve">, 498–504, DOI:</w:t>
      </w:r>
      <w:r>
        <w:t xml:space="preserve"> </w:t>
      </w:r>
      <w:r>
        <w:t xml:space="preserve">10.3348/kjr.2020.0132.</w:t>
      </w:r>
    </w:p>
    <w:p>
      <w:pPr>
        <w:pStyle w:val="BodyText"/>
      </w:pPr>
      <w:r>
        <w:t xml:space="preserve">Zhang, T., Q. Wu, and Z. Zhang, 2020: Probable Pangolin Origin of</w:t>
      </w:r>
      <w:r>
        <w:t xml:space="preserve"> </w:t>
      </w:r>
      <w:r>
        <w:t xml:space="preserve">SARS-CoV-2 Associated with the COVID-19 Outbreak.</w:t>
      </w:r>
      <w:r>
        <w:t xml:space="preserve"> </w:t>
      </w:r>
      <w:r>
        <w:rPr>
          <w:i/>
        </w:rPr>
        <w:t xml:space="preserve">Curr.</w:t>
      </w:r>
      <w:r>
        <w:rPr>
          <w:i/>
        </w:rPr>
        <w:t xml:space="preserve"> </w:t>
      </w:r>
      <w:r>
        <w:rPr>
          <w:i/>
        </w:rPr>
        <w:t xml:space="preserve">Biol.</w:t>
      </w:r>
      <w:r>
        <w:rPr>
          <w:b/>
        </w:rPr>
        <w:t xml:space="preserve">30</w:t>
      </w:r>
      <w:r>
        <w:t xml:space="preserve"> </w:t>
      </w:r>
      <w:r>
        <w:t xml:space="preserve">, 1346-1351.e2, DOI: 10.1016/j.cub.2020.03.022.</w:t>
      </w:r>
    </w:p>
    <w:p>
      <w:pPr>
        <w:pStyle w:val="BodyText"/>
      </w:pPr>
      <w:r>
        <w:t xml:space="preserve">Zhao, W., Z. Zhong, X. Xie, Q. Yu, and J. Liu, 2020: Relation between</w:t>
      </w:r>
      <w:r>
        <w:t xml:space="preserve"> </w:t>
      </w:r>
      <w:r>
        <w:t xml:space="preserve">chest CT findings and clinical conditions of coronavirus disease</w:t>
      </w:r>
      <w:r>
        <w:t xml:space="preserve"> </w:t>
      </w:r>
      <w:r>
        <w:t xml:space="preserve">(covid-19) pneumonia: A multicenter study.</w:t>
      </w:r>
      <w:r>
        <w:t xml:space="preserve"> </w:t>
      </w:r>
      <w:r>
        <w:rPr>
          <w:i/>
        </w:rPr>
        <w:t xml:space="preserve">Am. J.</w:t>
      </w:r>
      <w:r>
        <w:rPr>
          <w:i/>
        </w:rPr>
        <w:t xml:space="preserve"> </w:t>
      </w:r>
      <w:r>
        <w:rPr>
          <w:i/>
        </w:rPr>
        <w:t xml:space="preserve">Roentgenol.</w:t>
      </w:r>
      <w:r>
        <w:rPr>
          <w:b/>
        </w:rPr>
        <w:t xml:space="preserve">214</w:t>
      </w:r>
      <w:r>
        <w:t xml:space="preserve"> </w:t>
      </w:r>
      <w:r>
        <w:t xml:space="preserve">, 1072–1077, DOI: 10.2214/AJR.20.22976.</w:t>
      </w:r>
    </w:p>
    <w:p>
      <w:pPr>
        <w:pStyle w:val="BodyText"/>
      </w:pPr>
      <w:r>
        <w:t xml:space="preserve">Zhou, F., T. Yu, R. Du, G. Fan, Y. Liu, Z. Liu, J. Xiang, Y. Wang, B.</w:t>
      </w:r>
      <w:r>
        <w:t xml:space="preserve"> </w:t>
      </w:r>
      <w:r>
        <w:t xml:space="preserve">Song, X. Gu, L. Guan, Y. Wei, H. Li, X. Wu, J. Xu, S. Tu, Y. Zhang, H.</w:t>
      </w:r>
      <w:r>
        <w:t xml:space="preserve"> </w:t>
      </w:r>
      <w:r>
        <w:t xml:space="preserve">Chen, and B. Cao, 2020: Clinical course and risk factors for mortality</w:t>
      </w:r>
      <w:r>
        <w:t xml:space="preserve"> </w:t>
      </w:r>
      <w:r>
        <w:t xml:space="preserve">of adult inpatients with COVID-19 in Wuhan, China: a retrospective</w:t>
      </w:r>
      <w:r>
        <w:t xml:space="preserve"> </w:t>
      </w:r>
      <w:r>
        <w:t xml:space="preserve">cohort study.</w:t>
      </w:r>
      <w:r>
        <w:t xml:space="preserve"> </w:t>
      </w:r>
      <w:r>
        <w:rPr>
          <w:i/>
        </w:rPr>
        <w:t xml:space="preserve">Lancet</w:t>
      </w:r>
      <w:r>
        <w:t xml:space="preserve"> </w:t>
      </w:r>
      <w:r>
        <w:rPr>
          <w:b/>
        </w:rPr>
        <w:t xml:space="preserve">395</w:t>
      </w:r>
      <w:r>
        <w:t xml:space="preserve"> </w:t>
      </w:r>
      <w:r>
        <w:t xml:space="preserve">, 1054–1062, DOI:</w:t>
      </w:r>
      <w:r>
        <w:t xml:space="preserve"> </w:t>
      </w:r>
      <w:r>
        <w:t xml:space="preserve">10.1016/S0140-6736(20)30566-3.</w:t>
      </w:r>
    </w:p>
    <w:p>
      <w:pPr>
        <w:pStyle w:val="BodyText"/>
      </w:pPr>
      <w:r>
        <w:t xml:space="preserve">Zhu, L., X. Xu, K. Ma, J. Yang, H. Guan, S. Chen, Z. Chen, and G. Chen,</w:t>
      </w:r>
      <w:r>
        <w:t xml:space="preserve"> </w:t>
      </w:r>
      <w:r>
        <w:t xml:space="preserve">2020: Successful recovery of COVID-19 pneumonia in a renal transplant</w:t>
      </w:r>
      <w:r>
        <w:t xml:space="preserve"> </w:t>
      </w:r>
      <w:r>
        <w:t xml:space="preserve">recipient with long-term immunosuppression.</w:t>
      </w:r>
      <w:r>
        <w:t xml:space="preserve"> </w:t>
      </w:r>
      <w:r>
        <w:rPr>
          <w:i/>
        </w:rPr>
        <w:t xml:space="preserve">Am. J. Transplant.</w:t>
      </w:r>
      <w:r>
        <w:t xml:space="preserve"> </w:t>
      </w:r>
      <w:r>
        <w:t xml:space="preserve">1–5, DOI: 10.1111/ajt.15869.</w:t>
      </w:r>
    </w:p>
    <w:p>
      <w:pPr>
        <w:pStyle w:val="BodyText"/>
      </w:pPr>
      <w:r>
        <w:rPr>
          <w:b/>
        </w:rPr>
        <w:t xml:space="preserve">Figure List</w:t>
      </w:r>
    </w:p>
    <w:p>
      <w:pPr>
        <w:pStyle w:val="BodyText"/>
      </w:pPr>
      <w:r>
        <w:rPr>
          <w:b/>
        </w:rPr>
        <w:t xml:space="preserve">Fig 1: The most cited papers on COVID-19 by country.</w:t>
      </w:r>
    </w:p>
    <w:p>
      <w:pPr>
        <w:pStyle w:val="BodyText"/>
      </w:pPr>
      <w:r>
        <w:rPr>
          <w:b/>
        </w:rPr>
        <w:t xml:space="preserve">Fig. 2. Main approaches on COVID-19 of the most cited papers.</w:t>
      </w:r>
    </w:p>
    <w:p>
      <w:pPr>
        <w:pStyle w:val="BodyText"/>
      </w:pPr>
      <w:r>
        <w:rPr>
          <w:b/>
        </w:rPr>
        <w:t xml:space="preserve">Fig. 3. Scientific trajectory on COVID-19 investigations in</w:t>
      </w:r>
      <w:r>
        <w:rPr>
          <w:b/>
        </w:rPr>
        <w:t xml:space="preserve"> </w:t>
      </w:r>
      <w:r>
        <w:rPr>
          <w:b/>
        </w:rPr>
        <w:t xml:space="preserve">terms of</w:t>
      </w:r>
      <w:r>
        <w:t xml:space="preserve"> </w:t>
      </w:r>
      <w:r>
        <w:t xml:space="preserve">(</w:t>
      </w:r>
      <w:r>
        <w:rPr>
          <w:b/>
        </w:rPr>
        <w:t xml:space="preserve">A</w:t>
      </w:r>
      <w:r>
        <w:t xml:space="preserve"> </w:t>
      </w:r>
      <w:r>
        <w:t xml:space="preserve">) Paper approaches. (</w:t>
      </w:r>
      <w:r>
        <w:rPr>
          <w:b/>
        </w:rPr>
        <w:t xml:space="preserve">B</w:t>
      </w:r>
      <w:r>
        <w:t xml:space="preserve"> </w:t>
      </w:r>
      <w:r>
        <w:t xml:space="preserve">) Disease.</w:t>
      </w:r>
      <w:r>
        <w:t xml:space="preserve"> </w:t>
      </w:r>
      <w:r>
        <w:t xml:space="preserve">(</w:t>
      </w:r>
      <w:r>
        <w:rPr>
          <w:b/>
        </w:rPr>
        <w:t xml:space="preserve">C</w:t>
      </w:r>
      <w:r>
        <w:t xml:space="preserve"> </w:t>
      </w:r>
      <w:r>
        <w:t xml:space="preserve">) Treatment and Prevention. (</w:t>
      </w:r>
      <w:r>
        <w:rPr>
          <w:b/>
        </w:rPr>
        <w:t xml:space="preserve">D</w:t>
      </w:r>
      <w:r>
        <w:t xml:space="preserve"> </w:t>
      </w:r>
      <w:r>
        <w:t xml:space="preserve">) Management.</w:t>
      </w:r>
    </w:p>
    <w:p>
      <w:pPr>
        <w:pStyle w:val="BodyText"/>
      </w:pPr>
      <w:r>
        <w:rPr>
          <w:b/>
        </w:rPr>
        <w:t xml:space="preserve">Fig. 4. Scientific trajectory on COVID-19 disease in terms</w:t>
      </w:r>
      <w:r>
        <w:rPr>
          <w:b/>
        </w:rPr>
        <w:t xml:space="preserve"> </w:t>
      </w:r>
      <w:r>
        <w:rPr>
          <w:b/>
        </w:rPr>
        <w:t xml:space="preserve">of</w:t>
      </w:r>
      <w:r>
        <w:t xml:space="preserve">(</w:t>
      </w:r>
      <w:r>
        <w:rPr>
          <w:b/>
        </w:rPr>
        <w:t xml:space="preserve">A</w:t>
      </w:r>
      <w:r>
        <w:t xml:space="preserve"> </w:t>
      </w:r>
      <w:r>
        <w:t xml:space="preserve">) Transmission. (</w:t>
      </w:r>
      <w:r>
        <w:rPr>
          <w:b/>
        </w:rPr>
        <w:t xml:space="preserve">B</w:t>
      </w:r>
      <w:r>
        <w:t xml:space="preserve"> </w:t>
      </w:r>
      <w:r>
        <w:t xml:space="preserve">) Time. (</w:t>
      </w:r>
      <w:r>
        <w:rPr>
          <w:b/>
        </w:rPr>
        <w:t xml:space="preserve">C</w:t>
      </w:r>
      <w:r>
        <w:t xml:space="preserve"> </w:t>
      </w:r>
      <w:r>
        <w:t xml:space="preserve">)</w:t>
      </w:r>
      <w:r>
        <w:t xml:space="preserve"> </w:t>
      </w:r>
      <w:r>
        <w:t xml:space="preserve">Symptoms. (</w:t>
      </w:r>
      <w:r>
        <w:rPr>
          <w:b/>
        </w:rPr>
        <w:t xml:space="preserve">D</w:t>
      </w:r>
      <w:r>
        <w:t xml:space="preserve"> </w:t>
      </w:r>
      <w:r>
        <w:t xml:space="preserve">) Health complications. (</w:t>
      </w:r>
      <w:r>
        <w:rPr>
          <w:b/>
        </w:rPr>
        <w:t xml:space="preserve">E</w:t>
      </w:r>
      <w:r>
        <w:t xml:space="preserve"> </w:t>
      </w:r>
      <w:r>
        <w:t xml:space="preserve">) Risk</w:t>
      </w:r>
      <w:r>
        <w:t xml:space="preserve"> </w:t>
      </w:r>
      <w:r>
        <w:t xml:space="preserve">factors. (</w:t>
      </w:r>
      <w:r>
        <w:rPr>
          <w:b/>
        </w:rPr>
        <w:t xml:space="preserve">F</w:t>
      </w:r>
      <w:r>
        <w:t xml:space="preserve"> </w:t>
      </w:r>
      <w:r>
        <w:t xml:space="preserve">) Estimative.</w:t>
      </w:r>
    </w:p>
    <w:p>
      <w:pPr>
        <w:pStyle w:val="BodyText"/>
      </w:pPr>
      <w:r>
        <w:rPr>
          <w:b/>
        </w:rPr>
        <w:t xml:space="preserve">Fig. 5. Scientific trajectory on COVID-19 treatment and</w:t>
      </w:r>
      <w:r>
        <w:rPr>
          <w:b/>
        </w:rPr>
        <w:t xml:space="preserve"> </w:t>
      </w:r>
      <w:r>
        <w:rPr>
          <w:b/>
        </w:rPr>
        <w:t xml:space="preserve">management in terms of</w:t>
      </w:r>
      <w:r>
        <w:t xml:space="preserve"> </w:t>
      </w:r>
      <w:r>
        <w:t xml:space="preserve">(</w:t>
      </w:r>
      <w:r>
        <w:rPr>
          <w:b/>
        </w:rPr>
        <w:t xml:space="preserve">A</w:t>
      </w:r>
      <w:r>
        <w:t xml:space="preserve"> </w:t>
      </w:r>
      <w:r>
        <w:t xml:space="preserve">) Medicines. (</w:t>
      </w:r>
      <w:r>
        <w:rPr>
          <w:b/>
        </w:rPr>
        <w:t xml:space="preserve">B</w:t>
      </w:r>
      <w:r>
        <w:t xml:space="preserve"> </w:t>
      </w:r>
      <w:r>
        <w:t xml:space="preserve">)</w:t>
      </w:r>
      <w:r>
        <w:t xml:space="preserve"> </w:t>
      </w:r>
      <w:r>
        <w:t xml:space="preserve">Procedures in the ICU. (</w:t>
      </w:r>
      <w:r>
        <w:rPr>
          <w:b/>
        </w:rPr>
        <w:t xml:space="preserve">C</w:t>
      </w:r>
      <w:r>
        <w:t xml:space="preserve"> </w:t>
      </w:r>
      <w:r>
        <w:t xml:space="preserve">) Clinical tests.</w:t>
      </w:r>
    </w:p>
    <w:p>
      <w:pPr>
        <w:pStyle w:val="BodyText"/>
      </w:pPr>
      <w:r>
        <w:drawing>
          <wp:inline>
            <wp:extent cx="1064400" cy="5412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1/image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00" cy="541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Fig. 1</w:t>
      </w:r>
    </w:p>
    <w:p>
      <w:pPr>
        <w:pStyle w:val="BodyText"/>
      </w:pPr>
      <w:r>
        <w:drawing>
          <wp:inline>
            <wp:extent cx="709200" cy="5424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2/image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54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Fig. 2.</w:t>
      </w:r>
    </w:p>
    <w:p>
      <w:pPr>
        <w:pStyle w:val="BodyText"/>
      </w:pPr>
      <w:r>
        <w:drawing>
          <wp:inline>
            <wp:extent cx="1328400" cy="7836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3/image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00" cy="78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Fig. 3.</w:t>
      </w:r>
    </w:p>
    <w:p>
      <w:pPr>
        <w:pStyle w:val="BodyText"/>
      </w:pPr>
      <w:r>
        <w:drawing>
          <wp:inline>
            <wp:extent cx="1369200" cy="11916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4/image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200" cy="119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Fig. 4.</w:t>
      </w:r>
    </w:p>
    <w:p>
      <w:pPr>
        <w:pStyle w:val="BodyText"/>
      </w:pPr>
      <w:r>
        <w:drawing>
          <wp:inline>
            <wp:extent cx="1400400" cy="8244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5/image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2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Fig. 5.</w:t>
      </w:r>
    </w:p>
    <w:p>
      <w:pPr>
        <w:pStyle w:val="Heading1"/>
      </w:pPr>
      <w:bookmarkStart w:id="26" w:name="supplementary-materials"/>
      <w:bookmarkEnd w:id="26"/>
      <w:r>
        <w:t xml:space="preserve">Supplementary Materials</w:t>
      </w:r>
    </w:p>
    <w:p>
      <w:pPr>
        <w:pStyle w:val="Heading1"/>
      </w:pPr>
      <w:bookmarkStart w:id="27" w:name="materials-and-methods"/>
      <w:bookmarkEnd w:id="27"/>
      <w:r>
        <w:t xml:space="preserve">Materials and Methods</w:t>
      </w:r>
    </w:p>
    <w:p>
      <w:pPr>
        <w:pStyle w:val="FirstParagraph"/>
      </w:pPr>
      <w:r>
        <w:rPr>
          <w:b/>
        </w:rPr>
        <w:t xml:space="preserve">Scientific Articles Prospecting</w:t>
      </w:r>
    </w:p>
    <w:p>
      <w:pPr>
        <w:pStyle w:val="BodyText"/>
      </w:pPr>
      <w:r>
        <w:t xml:space="preserve">Scientific articles were selected from the Web of Science databases, a</w:t>
      </w:r>
      <w:r>
        <w:t xml:space="preserve"> </w:t>
      </w:r>
      <w:r>
        <w:t xml:space="preserve">platform of indexed citations data, maintained by Clarivate Analytics,</w:t>
      </w:r>
      <w:r>
        <w:t xml:space="preserve"> </w:t>
      </w:r>
      <w:r>
        <w:t xml:space="preserve">containing more than 34000 journals from different areas of knowledge</w:t>
      </w:r>
      <w:r>
        <w:t xml:space="preserve"> </w:t>
      </w:r>
      <w:r>
        <w:t xml:space="preserve">(www.webofknowledge.com). The search was performed using the keyword</w:t>
      </w:r>
      <w:r>
        <w:t xml:space="preserve"> </w:t>
      </w:r>
      <w:r>
        <w:t xml:space="preserve">“</w:t>
      </w:r>
      <w:r>
        <w:t xml:space="preserve">COVID-19</w:t>
      </w:r>
      <w:r>
        <w:t xml:space="preserve">”</w:t>
      </w:r>
      <w:r>
        <w:t xml:space="preserve"> </w:t>
      </w:r>
      <w:r>
        <w:t xml:space="preserve">and the field</w:t>
      </w:r>
      <w:r>
        <w:t xml:space="preserve"> </w:t>
      </w:r>
      <w:r>
        <w:t xml:space="preserve">“</w:t>
      </w:r>
      <w:r>
        <w:t xml:space="preserve">titles of articles</w:t>
      </w:r>
      <w:r>
        <w:t xml:space="preserve">”</w:t>
      </w:r>
      <w:r>
        <w:t xml:space="preserve">. Almost 10500</w:t>
      </w:r>
      <w:r>
        <w:t xml:space="preserve"> </w:t>
      </w:r>
      <w:r>
        <w:t xml:space="preserve">documents were found until the beginning of July 2020, being 3553</w:t>
      </w:r>
      <w:r>
        <w:t xml:space="preserve"> </w:t>
      </w:r>
      <w:r>
        <w:t xml:space="preserve">papers. The most cited articles in the scientific community, from</w:t>
      </w:r>
      <w:r>
        <w:t xml:space="preserve"> </w:t>
      </w:r>
      <w:r>
        <w:t xml:space="preserve">February to June 2020, at least 40 citations, were selected for further</w:t>
      </w:r>
      <w:r>
        <w:t xml:space="preserve"> </w:t>
      </w:r>
      <w:r>
        <w:t xml:space="preserve">analysis.</w:t>
      </w:r>
    </w:p>
    <w:p>
      <w:pPr>
        <w:pStyle w:val="BodyText"/>
      </w:pPr>
      <w:r>
        <w:rPr>
          <w:b/>
        </w:rPr>
        <w:t xml:space="preserve">Scientific Articles Classification</w:t>
      </w:r>
    </w:p>
    <w:p>
      <w:pPr>
        <w:pStyle w:val="BodyText"/>
      </w:pPr>
      <w:r>
        <w:t xml:space="preserve">The articles selected in the prospective step were classified into three</w:t>
      </w:r>
      <w:r>
        <w:t xml:space="preserve"> </w:t>
      </w:r>
      <w:r>
        <w:t xml:space="preserve">levels of analytical detail: Macro, Meso, and Micro. In the Macro</w:t>
      </w:r>
      <w:r>
        <w:t xml:space="preserve"> </w:t>
      </w:r>
      <w:r>
        <w:t xml:space="preserve">Analysis, the articles were grouped by countries, according to the</w:t>
      </w:r>
      <w:r>
        <w:t xml:space="preserve"> </w:t>
      </w:r>
      <w:r>
        <w:t xml:space="preserve">authors of each work. In the Meso Analysis, the articles were classified</w:t>
      </w:r>
      <w:r>
        <w:t xml:space="preserve"> </w:t>
      </w:r>
      <w:r>
        <w:t xml:space="preserve">according to the approach performed: disease, treatment/prevention, and</w:t>
      </w:r>
      <w:r>
        <w:t xml:space="preserve"> </w:t>
      </w:r>
      <w:r>
        <w:t xml:space="preserve">management of COVID-19. In the Micro Analysis, a greater level of detail</w:t>
      </w:r>
      <w:r>
        <w:t xml:space="preserve"> </w:t>
      </w:r>
      <w:r>
        <w:t xml:space="preserve">was performed for each driver of the Meso Analysis, in order to identify</w:t>
      </w:r>
      <w:r>
        <w:t xml:space="preserve"> </w:t>
      </w:r>
      <w:r>
        <w:t xml:space="preserve">the main aspects of the COVID-19 scientific investigation. For some</w:t>
      </w:r>
      <w:r>
        <w:t xml:space="preserve"> </w:t>
      </w:r>
      <w:r>
        <w:t xml:space="preserve">drivers, a second Micro Analysis was also performed (Table S1). Figure</w:t>
      </w:r>
      <w:r>
        <w:t xml:space="preserve"> </w:t>
      </w:r>
      <w:r>
        <w:t xml:space="preserve">S1 shows the infographic of the taxonomies used for the classification</w:t>
      </w:r>
      <w:r>
        <w:t xml:space="preserve"> </w:t>
      </w:r>
      <w:r>
        <w:t xml:space="preserve">of papers.</w:t>
      </w:r>
    </w:p>
    <w:p>
      <w:pPr>
        <w:pStyle w:val="Heading1"/>
      </w:pPr>
      <w:bookmarkStart w:id="28" w:name="fig.-s1.-infographic-of-the-classification-levels-of-analysis-of-the-most-cited-articles."/>
      <w:bookmarkEnd w:id="28"/>
      <w:r>
        <w:t xml:space="preserve">Fig. S1. Infographic of the classification levels of analysis</w:t>
      </w:r>
      <w:r>
        <w:t xml:space="preserve"> </w:t>
      </w:r>
      <w:r>
        <w:t xml:space="preserve">of the most cited</w:t>
      </w:r>
      <w:r>
        <w:t xml:space="preserve"> </w:t>
      </w:r>
      <w:r>
        <w:t xml:space="preserve">articles.</w:t>
      </w:r>
    </w:p>
    <w:p>
      <w:pPr>
        <w:pStyle w:val="FirstParagraph"/>
      </w:pPr>
      <w:r>
        <w:t xml:space="preserve">Each section of the figure corresponds to the approach reported in the</w:t>
      </w:r>
      <w:r>
        <w:t xml:space="preserve"> </w:t>
      </w:r>
      <w:r>
        <w:t xml:space="preserve">articles at three levels: Macro, Meso, and Micro. The size of each level</w:t>
      </w:r>
      <w:r>
        <w:t xml:space="preserve"> </w:t>
      </w:r>
      <w:r>
        <w:t xml:space="preserve">indicates the proportional quantity of articles with a focus on the</w:t>
      </w:r>
      <w:r>
        <w:t xml:space="preserve"> </w:t>
      </w:r>
      <w:r>
        <w:t xml:space="preserve">respective classificatory taxonomy used.</w:t>
      </w:r>
    </w:p>
    <w:p>
      <w:pPr>
        <w:pStyle w:val="Heading1"/>
      </w:pPr>
      <w:bookmarkStart w:id="29" w:name="table-s1-taxonomies-used-for-classification-of-covid-19-papers"/>
      <w:bookmarkEnd w:id="29"/>
      <w:r>
        <w:t xml:space="preserve">Table S1 Taxonomies used for classification of COVID-19</w:t>
      </w:r>
      <w:r>
        <w:t xml:space="preserve"> </w:t>
      </w:r>
      <w:r>
        <w:t xml:space="preserve">papers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Meso-analysis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Micro-analysis I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Micro-analysis II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Disease</w:t>
            </w:r>
          </w:p>
        </w:tc>
        <w:tc>
          <w:p>
            <w:pPr>
              <w:pStyle w:val="Compact"/>
              <w:jc w:val="left"/>
            </w:pPr>
            <w:r>
              <w:t xml:space="preserve">Transmission</w:t>
            </w:r>
          </w:p>
        </w:tc>
        <w:tc>
          <w:p>
            <w:pPr>
              <w:pStyle w:val="Compact"/>
              <w:jc w:val="left"/>
            </w:pPr>
            <w:r>
              <w:t xml:space="preserve">Via droplets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Direct contact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Tertiary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Time</w:t>
            </w:r>
          </w:p>
        </w:tc>
        <w:tc>
          <w:p>
            <w:pPr>
              <w:pStyle w:val="Compact"/>
              <w:jc w:val="left"/>
            </w:pPr>
            <w:r>
              <w:t xml:space="preserve">Incubation period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Communicable period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Symptoms period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Viral shedding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Symptoms</w:t>
            </w:r>
          </w:p>
        </w:tc>
        <w:tc>
          <w:p>
            <w:pPr>
              <w:pStyle w:val="Compact"/>
              <w:jc w:val="left"/>
            </w:pPr>
            <w:r>
              <w:t xml:space="preserve">Fever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Cough (dry)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Expectoration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Chills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Fatigue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Shortness of breath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Headache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Olfactory and gustatory dysfunctions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Asymptomatic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Health complications</w:t>
            </w:r>
          </w:p>
        </w:tc>
        <w:tc>
          <w:p>
            <w:pPr>
              <w:pStyle w:val="Compact"/>
              <w:jc w:val="left"/>
            </w:pPr>
            <w:r>
              <w:t xml:space="preserve">Pneumonia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Hypoxemia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Leukopenia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Lymphopenia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C-reactive protein changed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Pulmonary edema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Other pulmonary complications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Mental health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Risk factors</w:t>
            </w:r>
          </w:p>
        </w:tc>
        <w:tc>
          <w:p>
            <w:pPr>
              <w:pStyle w:val="Compact"/>
              <w:jc w:val="left"/>
            </w:pPr>
            <w:r>
              <w:t xml:space="preserve">Age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Gender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Hypertension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Diabetes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Coronary heart disease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Cancer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Estimative</w:t>
            </w:r>
          </w:p>
        </w:tc>
        <w:tc>
          <w:p>
            <w:pPr>
              <w:pStyle w:val="Compact"/>
              <w:jc w:val="left"/>
            </w:pPr>
            <w:r>
              <w:t xml:space="preserve">Case number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Contact tracing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Mortality 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Treatment /Prevention</w:t>
            </w:r>
          </w:p>
        </w:tc>
        <w:tc>
          <w:p>
            <w:pPr>
              <w:pStyle w:val="Compact"/>
              <w:jc w:val="left"/>
            </w:pPr>
            <w:r>
              <w:t xml:space="preserve">Medicines</w:t>
            </w:r>
          </w:p>
        </w:tc>
        <w:tc>
          <w:p>
            <w:pPr>
              <w:pStyle w:val="Compact"/>
              <w:jc w:val="left"/>
            </w:pPr>
            <w:r>
              <w:t xml:space="preserve">Lopinavir–Ritonavir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Remdesivir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Favipiravir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Ribavirin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Chloroquine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Hydroxychloroquine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Arbidol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IFN-α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Interferon alfa 2B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RAAS Inhibitors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Moxifloxacin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Methylprednisolone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Corticosteroids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Vaccines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Antibodies</w:t>
            </w:r>
          </w:p>
        </w:tc>
        <w:tc>
          <w:p>
            <w:pPr>
              <w:pStyle w:val="Compact"/>
              <w:jc w:val="left"/>
            </w:pPr>
            <w:r>
              <w:t xml:space="preserve">Convalescent plasma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Stem cells</w:t>
            </w:r>
          </w:p>
        </w:tc>
        <w:tc>
          <w:p>
            <w:pPr>
              <w:pStyle w:val="Compact"/>
              <w:jc w:val="left"/>
            </w:pPr>
            <w:r>
              <w:t xml:space="preserve">Mesenchymal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Management of COVID-19</w:t>
            </w:r>
          </w:p>
        </w:tc>
        <w:tc>
          <w:p>
            <w:pPr>
              <w:pStyle w:val="Compact"/>
              <w:jc w:val="left"/>
            </w:pPr>
            <w:r>
              <w:t xml:space="preserve">In the ICU</w:t>
            </w:r>
          </w:p>
        </w:tc>
        <w:tc>
          <w:p>
            <w:pPr>
              <w:pStyle w:val="Compact"/>
              <w:jc w:val="left"/>
            </w:pPr>
            <w:r>
              <w:t xml:space="preserve">Infection control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Laboratory diagnosis and specimens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Hemodynamic support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Ventilatory support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COVID-19 therapy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Social isolation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Prevention and control actions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Clinical tests</w:t>
            </w:r>
          </w:p>
        </w:tc>
        <w:tc>
          <w:p>
            <w:pPr>
              <w:pStyle w:val="Compact"/>
              <w:jc w:val="left"/>
            </w:pPr>
            <w:r>
              <w:t xml:space="preserve">Nucleic acid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Immunohistochemical stain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18F-FDG PET/CT test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Importations</w:t>
            </w:r>
          </w:p>
        </w:tc>
        <w:tc>
          <w:p>
            <w:pPr>
              <w:pStyle w:val="Compact"/>
            </w:pPr>
          </w:p>
        </w:tc>
      </w:tr>
    </w:tbl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a3c32c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research on COVID-19 by the World Scientific Community</dc:title>
  <dc:creator>Daniel Tinôco; Suzana Borschiver</dc:creator>
  <dcterms:created xsi:type="dcterms:W3CDTF">2020-07-29T18:27:18Z</dcterms:created>
  <dcterms:modified xsi:type="dcterms:W3CDTF">2020-07-29T18:27:18Z</dcterms:modified>
</cp:coreProperties>
</file>