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Practica</w:t>
      </w:r>
      <w:r>
        <w:t xml:space="preserve"> </w:t>
      </w:r>
      <w:r>
        <w:t xml:space="preserve">2</w:t>
      </w:r>
    </w:p>
    <w:p>
      <w:pPr>
        <w:pStyle w:val="Author"/>
      </w:pPr>
      <w:r>
        <w:t xml:space="preserve">Roberto</w:t>
      </w:r>
      <w:r>
        <w:t xml:space="preserve"> </w:t>
      </w:r>
      <w:r>
        <w:t xml:space="preserve">Gil</w:t>
      </w:r>
      <w:r>
        <w:t xml:space="preserve"> </w:t>
      </w:r>
      <w:r>
        <w:t xml:space="preserve">Ortiz-Solis</w:t>
      </w:r>
    </w:p>
    <w:p>
      <w:pPr>
        <w:pStyle w:val="FigureWithCaption"/>
      </w:pPr>
      <w:r>
        <w:drawing>
          <wp:inline>
            <wp:extent cx="2446555" cy="1841032"/>
            <wp:effectExtent b="0" l="0" r="0" t="0"/>
            <wp:docPr descr="Ejercicio 1: Estimación puntual. " title="" id="1" name="Picture"/>
            <a:graphic>
              <a:graphicData uri="http://schemas.openxmlformats.org/drawingml/2006/picture">
                <pic:pic>
                  <pic:nvPicPr>
                    <pic:cNvPr descr="figures/1/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55" cy="1841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Ejercicio 1: Estimación puntual.</w:t>
      </w:r>
      <w:r>
        <w:t xml:space="preserve"> </w:t>
      </w:r>
    </w:p>
    <w:p>
      <w:pPr>
        <w:pStyle w:val="Heading1"/>
      </w:pPr>
      <w:bookmarkStart w:id="22" w:name="solución-fig.-1-a"/>
      <w:bookmarkEnd w:id="22"/>
      <w:r>
        <w:t xml:space="preserve">Solución Fig. 1-a):</w:t>
      </w:r>
    </w:p>
    <w:p>
      <w:pPr>
        <w:pStyle w:val="FirstParagraph"/>
      </w:pPr>
      <w:r>
        <w:t xml:space="preserve">Concentración promedio de calcio en el agua potable en Carolinas.</w:t>
      </w:r>
    </w:p>
    <w:p>
      <w:pPr>
        <w:pStyle w:val="Heading2"/>
      </w:pPr>
      <w:bookmarkStart w:id="23" w:name="datos"/>
      <w:bookmarkEnd w:id="23"/>
      <w:r>
        <w:t xml:space="preserve">Datos:</w:t>
      </w:r>
    </w:p>
    <w:p>
      <w:pPr>
        <w:pStyle w:val="FirstParagraph"/>
      </w:pPr>
      <m:oMath>
        <m:r>
          <m:t>σ</m:t>
        </m:r>
        <m:r>
          <m:t>=</m:t>
        </m:r>
        <m:r>
          <m:t>16.6</m:t>
        </m:r>
      </m:oMath>
    </w:p>
    <w:p>
      <w:pPr>
        <w:pStyle w:val="BodyText"/>
      </w:pPr>
      <m:oMath>
        <m:r>
          <m:t>n</m:t>
        </m:r>
        <m:r>
          <m:t>=</m:t>
        </m:r>
        <m:r>
          <m:t>467</m:t>
        </m:r>
      </m:oMath>
    </w:p>
    <w:p>
      <w:pPr>
        <w:pStyle w:val="BodyText"/>
      </w:pPr>
      <m:oMath>
        <m:sSub>
          <m:e>
            <m:bar>
              <m:barPr>
                <m:pos m:val="top"/>
              </m:barPr>
              <m:e>
                <m:r>
                  <m:t>Y</m:t>
                </m:r>
              </m:e>
            </m:bar>
          </m:e>
          <m:sub/>
        </m:sSub>
        <m:r>
          <m:t>=</m:t>
        </m:r>
        <m:r>
          <m:t>11.3</m:t>
        </m:r>
      </m:oMath>
    </w:p>
    <w:p>
      <w:pPr>
        <w:pStyle w:val="Heading2"/>
      </w:pPr>
      <w:bookmarkStart w:id="24" w:name="resolver"/>
      <w:bookmarkEnd w:id="24"/>
      <w:r>
        <w:t xml:space="preserve">Resolver:</w:t>
      </w:r>
    </w:p>
    <w:p>
      <w:pPr>
        <w:pStyle w:val="FirstParagraph"/>
      </w:pPr>
      <m:oMath>
        <m:r>
          <m:t>θ</m:t>
        </m:r>
        <m:r>
          <m:t>±</m:t>
        </m:r>
        <m:r>
          <m:t>σ</m:t>
        </m:r>
        <m:r>
          <m:t>θ</m:t>
        </m:r>
      </m:oMath>
    </w:p>
    <w:p>
      <w:pPr>
        <w:pStyle w:val="BodyText"/>
      </w:pPr>
      <m:oMath>
        <m:bar>
          <m:barPr>
            <m:pos m:val="top"/>
          </m:barPr>
          <m:e>
            <m:r>
              <m:t>Y</m:t>
            </m:r>
          </m:e>
        </m:bar>
        <m:r>
          <m:t>±</m:t>
        </m:r>
        <m:f>
          <m:fPr>
            <m:type m:val="bar"/>
          </m:fPr>
          <m:num>
            <m:r>
              <m:t>σ</m:t>
            </m:r>
          </m:num>
          <m:den>
            <m:rad>
              <m:radPr>
                <m:degHide m:val="1"/>
              </m:radPr>
              <m:deg/>
              <m:e>
                <m:r>
                  <m:t>n</m:t>
                </m:r>
              </m:e>
            </m:rad>
          </m:den>
        </m:f>
      </m:oMath>
    </w:p>
    <w:p>
      <w:pPr>
        <w:pStyle w:val="BodyText"/>
      </w:pPr>
      <m:oMath>
        <m:r>
          <m:t>11.3</m:t>
        </m:r>
        <m:r>
          <m:t>±</m:t>
        </m:r>
        <m:f>
          <m:fPr>
            <m:type m:val="bar"/>
          </m:fPr>
          <m:num>
            <m:r>
              <m:t>16.6</m:t>
            </m:r>
          </m:num>
          <m:den>
            <m:rad>
              <m:radPr>
                <m:degHide m:val="1"/>
              </m:radPr>
              <m:deg/>
              <m:e>
                <m:r>
                  <m:t>467</m:t>
                </m:r>
              </m:e>
            </m:rad>
          </m:den>
        </m:f>
      </m:oMath>
    </w:p>
    <w:p>
      <w:pPr>
        <w:pStyle w:val="BodyText"/>
      </w:pPr>
      <m:oMath>
        <m:r>
          <m:t>11.3</m:t>
        </m:r>
        <m:r>
          <m:t>±</m:t>
        </m:r>
        <m:f>
          <m:fPr>
            <m:type m:val="bar"/>
          </m:fPr>
          <m:num>
            <m:r>
              <m:t>16.6</m:t>
            </m:r>
          </m:num>
          <m:den>
            <m:r>
              <m:t>21.61</m:t>
            </m:r>
          </m:den>
        </m:f>
      </m:oMath>
    </w:p>
    <w:p>
      <w:pPr>
        <w:pStyle w:val="BodyText"/>
      </w:pPr>
      <m:oMath>
        <m:r>
          <m:t>11.3</m:t>
        </m:r>
        <m:r>
          <m:t>−</m:t>
        </m:r>
        <m:r>
          <m:t>.7681</m:t>
        </m:r>
        <m:r>
          <m:t>≤</m:t>
        </m:r>
        <m:r>
          <m:t>11.3</m:t>
        </m:r>
        <m:r>
          <m:t>≤</m:t>
        </m:r>
        <m:r>
          <m:t>11.3</m:t>
        </m:r>
        <m:r>
          <m:t>+</m:t>
        </m:r>
        <m:r>
          <m:t>.7681</m:t>
        </m:r>
      </m:oMath>
    </w:p>
    <w:p>
      <w:pPr>
        <w:pStyle w:val="BodyText"/>
      </w:pPr>
      <m:oMath>
        <m:r>
          <m:t>10.5316</m:t>
        </m:r>
        <m:r>
          <m:t>≤</m:t>
        </m:r>
        <m:r>
          <m:t>11.3</m:t>
        </m:r>
        <m:r>
          <m:t>≤</m:t>
        </m:r>
        <m:r>
          <m:t>12.0682</m:t>
        </m:r>
      </m:oMath>
    </w:p>
    <w:p>
      <w:pPr>
        <w:pStyle w:val="BodyText"/>
      </w:pPr>
      <m:oMath>
        <m:r>
          <m:t>∴</m:t>
        </m:r>
      </m:oMath>
      <w:r>
        <w:t xml:space="preserve"> </w:t>
      </w:r>
      <w:r>
        <w:t xml:space="preserve">El limite promedio de concentración de calcio en el</w:t>
      </w:r>
      <w:r>
        <w:t xml:space="preserve"> </w:t>
      </w:r>
      <w:r>
        <w:t xml:space="preserve">agua potable para pacientes con calculo renales, se encuentra en un</w:t>
      </w:r>
      <w:r>
        <w:t xml:space="preserve"> </w:t>
      </w:r>
      <w:r>
        <w:t xml:space="preserve">intervalo de confianza de: </w:t>
      </w:r>
      <m:oMath>
        <m:r>
          <m:t>10.5316</m:t>
        </m:r>
        <m:r>
          <m:t>≤</m:t>
        </m:r>
        <m:r>
          <m:t>11.3</m:t>
        </m:r>
        <m:r>
          <m:t>≤</m:t>
        </m:r>
        <m:r>
          <m:t>12.0682</m:t>
        </m:r>
      </m:oMath>
    </w:p>
    <w:p>
      <w:pPr>
        <w:pStyle w:val="BodyText"/>
      </w:pPr>
      <w:r>
        <w:br w:type="textWrapping"/>
      </w:r>
    </w:p>
    <w:p>
      <w:pPr>
        <w:pStyle w:val="Heading1"/>
      </w:pPr>
      <w:bookmarkStart w:id="25" w:name="solución-fig.-1-b"/>
      <w:bookmarkEnd w:id="25"/>
      <w:r>
        <w:t xml:space="preserve">Solución Fig. 1-b):</w:t>
      </w:r>
    </w:p>
    <w:p>
      <w:pPr>
        <w:pStyle w:val="FirstParagraph"/>
      </w:pPr>
      <w:r>
        <w:t xml:space="preserve">Diferencia de edades promedio de personas con cálculos renales en</w:t>
      </w:r>
      <w:r>
        <w:t xml:space="preserve"> </w:t>
      </w:r>
      <w:r>
        <w:t xml:space="preserve">Carolinas y Rocallosas. </w:t>
      </w:r>
    </w:p>
    <w:p>
      <w:pPr>
        <w:pStyle w:val="Heading2"/>
      </w:pPr>
      <w:bookmarkStart w:id="26" w:name="datos-1"/>
      <w:bookmarkEnd w:id="26"/>
      <w:r>
        <w:t xml:space="preserve">Datos:</w:t>
      </w:r>
    </w:p>
    <w:p>
      <w:pPr>
        <w:pStyle w:val="FirstParagraph"/>
      </w:pPr>
      <m:oMath>
        <m:r>
          <m:t>σ</m:t>
        </m:r>
        <m:r>
          <m:t>=</m:t>
        </m:r>
        <m:r>
          <m:t>10.2</m:t>
        </m:r>
        <m:r>
          <m:t> </m:t>
        </m:r>
        <m:r>
          <m:t>→</m:t>
        </m:r>
        <m:sSup>
          <m:e>
            <m:r>
              <m:t>σ</m:t>
            </m:r>
          </m:e>
          <m:sup>
            <m:r>
              <m:t>2</m:t>
            </m:r>
          </m:sup>
        </m:sSup>
        <m:r>
          <m:t>=</m:t>
        </m:r>
        <m:r>
          <m:t>104.04</m:t>
        </m:r>
      </m:oMath>
    </w:p>
    <w:p>
      <w:pPr>
        <w:pStyle w:val="BodyText"/>
      </w:pPr>
      <m:oMath>
        <m:r>
          <m:t>σ</m:t>
        </m:r>
        <m:r>
          <m:t>=</m:t>
        </m:r>
        <m:r>
          <m:t>9.8</m:t>
        </m:r>
        <m:r>
          <m:t>→</m:t>
        </m:r>
        <m:sSup>
          <m:e>
            <m:r>
              <m:t>σ</m:t>
            </m:r>
          </m:e>
          <m:sup>
            <m:r>
              <m:t>2</m:t>
            </m:r>
          </m:sup>
        </m:sSup>
        <m:r>
          <m:t>=</m:t>
        </m:r>
        <m:r>
          <m:t>96.04</m:t>
        </m:r>
      </m:oMath>
    </w:p>
    <w:p>
      <w:pPr>
        <w:pStyle w:val="BodyText"/>
      </w:pPr>
      <m:oMath>
        <m:sSub>
          <m:e>
            <m:r>
              <m:t>n</m:t>
            </m:r>
          </m:e>
          <m:sub>
            <m:r>
              <m:t>1</m:t>
            </m:r>
          </m:sub>
        </m:sSub>
        <m:r>
          <m:t>=</m:t>
        </m:r>
        <m:r>
          <m:t>467</m:t>
        </m:r>
      </m:oMath>
    </w:p>
    <w:p>
      <w:pPr>
        <w:pStyle w:val="BodyText"/>
      </w:pPr>
      <m:oMath>
        <m:sSub>
          <m:e>
            <m:r>
              <m:t>n</m:t>
            </m:r>
          </m:e>
          <m:sub>
            <m:r>
              <m:t>2</m:t>
            </m:r>
          </m:sub>
        </m:sSub>
        <m:r>
          <m:t>=</m:t>
        </m:r>
        <m:r>
          <m:t>191</m:t>
        </m:r>
      </m:oMath>
    </w:p>
    <w:p>
      <w:pPr>
        <w:pStyle w:val="BodyText"/>
      </w:pPr>
      <m:oMath>
        <m:sSub>
          <m:e>
            <m:bar>
              <m:barPr>
                <m:pos m:val="top"/>
              </m:barPr>
              <m:e>
                <m:r>
                  <m:t>Y</m:t>
                </m:r>
              </m:e>
            </m:bar>
          </m:e>
          <m:sub>
            <m:r>
              <m:t>1</m:t>
            </m:r>
          </m:sub>
        </m:sSub>
        <m:r>
          <m:t>=</m:t>
        </m:r>
        <m:r>
          <m:t>45.1</m:t>
        </m:r>
      </m:oMath>
    </w:p>
    <w:p>
      <w:pPr>
        <w:pStyle w:val="BodyText"/>
      </w:pPr>
      <m:oMath>
        <m:sSub>
          <m:e>
            <m:bar>
              <m:barPr>
                <m:pos m:val="top"/>
              </m:barPr>
              <m:e>
                <m:r>
                  <m:t>Y</m:t>
                </m:r>
              </m:e>
            </m:bar>
          </m:e>
          <m:sub>
            <m:r>
              <m:t>2</m:t>
            </m:r>
          </m:sub>
        </m:sSub>
        <m:r>
          <m:t>=</m:t>
        </m:r>
        <m:r>
          <m:t>46.4</m:t>
        </m:r>
      </m:oMath>
    </w:p>
    <w:p>
      <w:pPr>
        <w:pStyle w:val="Heading2"/>
      </w:pPr>
      <w:bookmarkStart w:id="27" w:name="resolver-1"/>
      <w:bookmarkEnd w:id="27"/>
      <w:r>
        <w:t xml:space="preserve">Resolver:</w:t>
      </w:r>
    </w:p>
    <w:p>
      <w:pPr>
        <w:pStyle w:val="FirstParagraph"/>
      </w:pPr>
      <m:oMath>
        <m:r>
          <m:t>θ</m:t>
        </m:r>
        <m:r>
          <m:t>±</m:t>
        </m:r>
        <m:r>
          <m:t>σ</m:t>
        </m:r>
        <m:r>
          <m:t>θ</m:t>
        </m:r>
      </m:oMath>
    </w:p>
    <w:p>
      <w:pPr>
        <w:pStyle w:val="BodyText"/>
      </w:pPr>
      <m:oMath>
        <m:bar>
          <m:barPr>
            <m:pos m:val="top"/>
          </m:barPr>
          <m:e>
            <m:sSub>
              <m:e>
                <m:r>
                  <m:t>Y</m:t>
                </m:r>
              </m:e>
              <m:sub>
                <m:r>
                  <m:t>1</m:t>
                </m:r>
              </m:sub>
            </m:sSub>
          </m:e>
        </m:bar>
        <m:r>
          <m:t>−</m:t>
        </m:r>
        <m:bar>
          <m:barPr>
            <m:pos m:val="top"/>
          </m:barPr>
          <m:e>
            <m:sSub>
              <m:e>
                <m:r>
                  <m:t>Y</m:t>
                </m:r>
              </m:e>
              <m:sub>
                <m:r>
                  <m:t>2</m:t>
                </m:r>
              </m:sub>
            </m:sSub>
          </m:e>
        </m:bar>
        <m:r>
          <m:t>±</m:t>
        </m:r>
        <m:rad>
          <m:radPr>
            <m:degHide m:val="1"/>
          </m:radPr>
          <m:deg/>
          <m:e>
            <m:f>
              <m:fPr>
                <m:type m:val="bar"/>
              </m:fPr>
              <m:num>
                <m:sSubSup>
                  <m:e>
                    <m:r>
                      <m:t>σ</m:t>
                    </m:r>
                  </m:e>
                  <m:sub>
                    <m:r>
                      <m:t>1</m:t>
                    </m:r>
                  </m:sub>
                  <m:sup>
                    <m:r>
                      <m:t>2</m:t>
                    </m:r>
                  </m:sup>
                </m:sSubSup>
              </m:num>
              <m:den>
                <m:sSub>
                  <m:e>
                    <m:r>
                      <m:t>n</m:t>
                    </m:r>
                  </m:e>
                  <m:sub>
                    <m:r>
                      <m:t>1</m:t>
                    </m:r>
                  </m:sub>
                </m:sSub>
              </m:den>
            </m:f>
            <m:r>
              <m:t>+</m:t>
            </m:r>
            <m:f>
              <m:fPr>
                <m:type m:val="bar"/>
              </m:fPr>
              <m:num>
                <m:sSubSup>
                  <m:e>
                    <m:r>
                      <m:t>σ</m:t>
                    </m:r>
                  </m:e>
                  <m:sub>
                    <m:r>
                      <m:t>2</m:t>
                    </m:r>
                  </m:sub>
                  <m:sup>
                    <m:r>
                      <m:t>2</m:t>
                    </m:r>
                  </m:sup>
                </m:sSubSup>
              </m:num>
              <m:den>
                <m:sSub>
                  <m:e>
                    <m:r>
                      <m:t>n</m:t>
                    </m:r>
                  </m:e>
                  <m:sub>
                    <m:r>
                      <m:t>2</m:t>
                    </m:r>
                  </m:sub>
                </m:sSub>
              </m:den>
            </m:f>
          </m:e>
        </m:rad>
      </m:oMath>
    </w:p>
    <w:p>
      <w:pPr>
        <w:pStyle w:val="BodyText"/>
      </w:pPr>
      <m:oMath>
        <m:r>
          <m:t>45.1</m:t>
        </m:r>
        <m:r>
          <m:t>−</m:t>
        </m:r>
        <m:r>
          <m:t>46.4</m:t>
        </m:r>
        <m:r>
          <m:t>±</m:t>
        </m:r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104.04</m:t>
                </m:r>
              </m:num>
              <m:den>
                <m:r>
                  <m:t>467</m:t>
                </m:r>
              </m:den>
            </m:f>
            <m:r>
              <m:t>+</m:t>
            </m:r>
            <m:f>
              <m:fPr>
                <m:type m:val="bar"/>
              </m:fPr>
              <m:num>
                <m:sSup>
                  <m:e>
                    <m:r>
                      <m:t>96.04</m:t>
                    </m:r>
                  </m:e>
                  <m:sup/>
                </m:sSup>
              </m:num>
              <m:den>
                <m:r>
                  <m:t>191</m:t>
                </m:r>
              </m:den>
            </m:f>
          </m:e>
        </m:rad>
      </m:oMath>
    </w:p>
    <w:p>
      <w:pPr>
        <w:pStyle w:val="BodyText"/>
      </w:pPr>
      <m:oMath>
        <m:r>
          <m:t>−</m:t>
        </m:r>
        <m:r>
          <m:t>1.3</m:t>
        </m:r>
        <m:r>
          <m:t>±</m:t>
        </m:r>
        <m:rad>
          <m:radPr>
            <m:degHide m:val="1"/>
          </m:radPr>
          <m:deg/>
          <m:e>
            <m:r>
              <m:t>0.7256</m:t>
            </m:r>
          </m:e>
        </m:rad>
      </m:oMath>
    </w:p>
    <w:p>
      <w:pPr>
        <w:pStyle w:val="BodyText"/>
      </w:pPr>
      <m:oMath>
        <m:r>
          <m:t>−</m:t>
        </m:r>
        <m:r>
          <m:t>1.3</m:t>
        </m:r>
        <m:r>
          <m:t>−</m:t>
        </m:r>
        <m:r>
          <m:t>.8518</m:t>
        </m:r>
        <m:r>
          <m:t>≤</m:t>
        </m:r>
        <m:r>
          <m:t>−</m:t>
        </m:r>
        <m:r>
          <m:t>1.3</m:t>
        </m:r>
        <m:r>
          <m:t>≤</m:t>
        </m:r>
        <m:r>
          <m:t>−</m:t>
        </m:r>
        <m:r>
          <m:t>1.3</m:t>
        </m:r>
        <m:r>
          <m:t>+</m:t>
        </m:r>
        <m:r>
          <m:t>.8518</m:t>
        </m:r>
      </m:oMath>
    </w:p>
    <w:p>
      <w:pPr>
        <w:pStyle w:val="BodyText"/>
      </w:pPr>
      <m:oMath>
        <m:r>
          <m:t>−</m:t>
        </m:r>
        <m:r>
          <m:t>2.1518</m:t>
        </m:r>
        <m:r>
          <m:t>≤</m:t>
        </m:r>
        <m:r>
          <m:t>−</m:t>
        </m:r>
        <m:r>
          <m:t>1.3</m:t>
        </m:r>
        <m:r>
          <m:t>≤</m:t>
        </m:r>
        <m:r>
          <m:t>−</m:t>
        </m:r>
        <m:r>
          <m:t>0.4481</m:t>
        </m:r>
      </m:oMath>
    </w:p>
    <w:p>
      <w:pPr>
        <w:pStyle w:val="BodyText"/>
      </w:pPr>
      <w:r>
        <w:t xml:space="preserve"> </w:t>
      </w:r>
      <m:oMath>
        <m:r>
          <m:t>∴</m:t>
        </m:r>
      </m:oMath>
      <w:r>
        <w:t xml:space="preserve"> </w:t>
      </w:r>
      <w:r>
        <w:t xml:space="preserve">La diferencia de edades promedio entre las personas</w:t>
      </w:r>
      <w:r>
        <w:t xml:space="preserve"> </w:t>
      </w:r>
      <w:r>
        <w:t xml:space="preserve">en Carolinas y Rocallosas, se encuentra en un intervalo de: </w:t>
      </w:r>
      <w:r>
        <w:t xml:space="preserve"> </w:t>
      </w:r>
      <m:oMath>
        <m:r>
          <m:t>−</m:t>
        </m:r>
        <m:r>
          <m:t>2.1518</m:t>
        </m:r>
        <m:r>
          <m:t>≤</m:t>
        </m:r>
        <m:r>
          <m:t>−</m:t>
        </m:r>
        <m:r>
          <m:t>1.3</m:t>
        </m:r>
        <m:r>
          <m:t>≤</m:t>
        </m:r>
        <m:r>
          <m:t>−</m:t>
        </m:r>
        <m:r>
          <m:t>0.4481</m:t>
        </m:r>
      </m:oMath>
    </w:p>
    <w:p>
      <w:pPr>
        <w:pStyle w:val="BodyText"/>
      </w:pPr>
      <w:r>
        <w:br w:type="textWrapping"/>
      </w:r>
    </w:p>
    <w:p>
      <w:pPr>
        <w:pStyle w:val="Heading1"/>
      </w:pPr>
      <w:bookmarkStart w:id="28" w:name="solución-fig.-1-c"/>
      <w:bookmarkEnd w:id="28"/>
      <w:r>
        <w:t xml:space="preserve">Solución Fig. 1-c):</w:t>
      </w:r>
    </w:p>
    <w:p>
      <w:pPr>
        <w:pStyle w:val="FirstParagraph"/>
      </w:pPr>
      <w:r>
        <w:t xml:space="preserve">Diferencia de proporciones de personas fumadoras al momento de hacer el</w:t>
      </w:r>
      <w:r>
        <w:t xml:space="preserve"> </w:t>
      </w:r>
      <w:r>
        <w:t xml:space="preserve">estudio.</w:t>
      </w:r>
    </w:p>
    <w:p>
      <w:pPr>
        <w:pStyle w:val="Heading2"/>
      </w:pPr>
      <w:bookmarkStart w:id="29" w:name="datos-2"/>
      <w:bookmarkEnd w:id="29"/>
      <w:r>
        <w:t xml:space="preserve">Datos:</w:t>
      </w:r>
    </w:p>
    <w:p>
      <w:pPr>
        <w:pStyle w:val="FirstParagraph"/>
      </w:pPr>
      <m:oMath>
        <m:sSub>
          <m:e>
            <m:r>
              <m:t>n</m:t>
            </m:r>
          </m:e>
          <m:sub>
            <m:r>
              <m:t>1</m:t>
            </m:r>
          </m:sub>
        </m:sSub>
        <m:r>
          <m:t>=</m:t>
        </m:r>
        <m:r>
          <m:t>467</m:t>
        </m:r>
        <m:r>
          <m:t> </m:t>
        </m:r>
        <m:r>
          <m:t> </m:t>
        </m:r>
        <m:r>
          <m:t> </m:t>
        </m:r>
      </m:oMath>
    </w:p>
    <w:p>
      <w:pPr>
        <w:pStyle w:val="BodyText"/>
      </w:pPr>
      <m:oMath>
        <m:sSub>
          <m:e>
            <m:r>
              <m:t>n</m:t>
            </m:r>
          </m:e>
          <m:sub>
            <m:r>
              <m:t>2</m:t>
            </m:r>
          </m:sub>
        </m:sSub>
        <m:r>
          <m:t>=</m:t>
        </m:r>
        <m:r>
          <m:t>191</m:t>
        </m:r>
        <m:r>
          <m:t> </m:t>
        </m:r>
        <m:r>
          <m:t> </m:t>
        </m:r>
        <m:r>
          <m:t> </m:t>
        </m:r>
      </m:oMath>
    </w:p>
    <w:p>
      <w:pPr>
        <w:pStyle w:val="BodyText"/>
      </w:pPr>
      <m:oMath>
        <m:sSub>
          <m:e>
            <m:r>
              <m:t>p</m:t>
            </m:r>
          </m:e>
          <m:sub>
            <m:r>
              <m:t>1</m:t>
            </m:r>
          </m:sub>
        </m:sSub>
        <m:r>
          <m:t>=</m:t>
        </m:r>
        <m:r>
          <m:t>0.78</m:t>
        </m:r>
        <m:r>
          <m:t>→</m:t>
        </m:r>
        <m:sSub>
          <m:e>
            <m:r>
              <m:t>q</m:t>
            </m:r>
          </m:e>
          <m:sub>
            <m:r>
              <m:t>1</m:t>
            </m:r>
          </m:sub>
        </m:sSub>
        <m:r>
          <m:t>=</m:t>
        </m:r>
        <m:r>
          <m:t>0.22</m:t>
        </m:r>
      </m:oMath>
    </w:p>
    <w:p>
      <w:pPr>
        <w:pStyle w:val="BodyText"/>
      </w:pPr>
      <m:oMath>
        <m:sSub>
          <m:e>
            <m:r>
              <m:t>p</m:t>
            </m:r>
          </m:e>
          <m:sub>
            <m:r>
              <m:t>2</m:t>
            </m:r>
          </m:sub>
        </m:sSub>
        <m:r>
          <m:t>=</m:t>
        </m:r>
        <m:r>
          <m:t>0.61</m:t>
        </m:r>
        <m:r>
          <m:t>→</m:t>
        </m:r>
        <m:sSub>
          <m:e>
            <m:r>
              <m:t>q</m:t>
            </m:r>
          </m:e>
          <m:sub>
            <m:r>
              <m:t>2</m:t>
            </m:r>
          </m:sub>
        </m:sSub>
        <m:r>
          <m:t>=</m:t>
        </m:r>
        <m:r>
          <m:t>0.39</m:t>
        </m:r>
      </m:oMath>
    </w:p>
    <w:p>
      <w:pPr>
        <w:pStyle w:val="Heading2"/>
      </w:pPr>
      <w:bookmarkStart w:id="30" w:name="resolver-2"/>
      <w:bookmarkEnd w:id="30"/>
      <w:r>
        <w:t xml:space="preserve">Resolver:</w:t>
      </w:r>
    </w:p>
    <w:p>
      <w:pPr>
        <w:pStyle w:val="FirstParagraph"/>
      </w:pPr>
      <m:oMath>
        <m:r>
          <m:t>θ</m:t>
        </m:r>
        <m:r>
          <m:t>±</m:t>
        </m:r>
        <m:r>
          <m:t>σ</m:t>
        </m:r>
        <m:r>
          <m:t>θ</m:t>
        </m:r>
        <m:r>
          <m:t> </m:t>
        </m:r>
        <m:d>
          <m:dPr>
            <m:begChr m:val="("/>
            <m:endChr m:val=")"/>
            <m:grow/>
          </m:dPr>
          <m:e>
            <m:r>
              <m:t>2</m:t>
            </m:r>
          </m:e>
        </m:d>
      </m:oMath>
    </w:p>
    <w:p>
      <w:pPr>
        <w:pStyle w:val="BodyText"/>
      </w:pPr>
      <m:oMath>
        <m:sSub>
          <m:e>
            <m:r>
              <m:t>p</m:t>
            </m:r>
          </m:e>
          <m:sub>
            <m:r>
              <m:t>1</m:t>
            </m:r>
          </m:sub>
        </m:sSub>
        <m:r>
          <m:t>−</m:t>
        </m:r>
        <m:sSub>
          <m:e>
            <m:r>
              <m:t>q</m:t>
            </m:r>
          </m:e>
          <m:sub>
            <m:r>
              <m:t>2</m:t>
            </m:r>
          </m:sub>
        </m:sSub>
        <m:r>
          <m:t>±</m:t>
        </m:r>
        <m:rad>
          <m:radPr>
            <m:degHide m:val="1"/>
          </m:radPr>
          <m:deg/>
          <m:e>
            <m:f>
              <m:fPr>
                <m:type m:val="bar"/>
              </m:fPr>
              <m:num>
                <m:sSub>
                  <m:e>
                    <m:r>
                      <m:t>p</m:t>
                    </m:r>
                  </m:e>
                  <m:sub>
                    <m:r>
                      <m:t>1</m:t>
                    </m:r>
                  </m:sub>
                </m:sSub>
                <m:r>
                  <m:t>⋅</m:t>
                </m:r>
                <m:sSub>
                  <m:e>
                    <m:r>
                      <m:t>q</m:t>
                    </m:r>
                  </m:e>
                  <m:sub>
                    <m:r>
                      <m:t>1</m:t>
                    </m:r>
                  </m:sub>
                </m:sSub>
              </m:num>
              <m:den>
                <m:sSub>
                  <m:e>
                    <m:r>
                      <m:t>n</m:t>
                    </m:r>
                  </m:e>
                  <m:sub>
                    <m:r>
                      <m:t>1</m:t>
                    </m:r>
                  </m:sub>
                </m:sSub>
              </m:den>
            </m:f>
            <m:r>
              <m:t>+</m:t>
            </m:r>
            <m:f>
              <m:fPr>
                <m:type m:val="bar"/>
              </m:fPr>
              <m:num>
                <m:sSub>
                  <m:e>
                    <m:r>
                      <m:t>p</m:t>
                    </m:r>
                  </m:e>
                  <m:sub>
                    <m:r>
                      <m:t>2</m:t>
                    </m:r>
                  </m:sub>
                </m:sSub>
                <m:r>
                  <m:t>⋅</m:t>
                </m:r>
                <m:sSub>
                  <m:e>
                    <m:r>
                      <m:t>q</m:t>
                    </m:r>
                  </m:e>
                  <m:sub>
                    <m:r>
                      <m:t>2</m:t>
                    </m:r>
                  </m:sub>
                </m:sSub>
              </m:num>
              <m:den>
                <m:sSub>
                  <m:e>
                    <m:r>
                      <m:t>n</m:t>
                    </m:r>
                  </m:e>
                  <m:sub>
                    <m:r>
                      <m:t>2</m:t>
                    </m:r>
                  </m:sub>
                </m:sSub>
              </m:den>
            </m:f>
          </m:e>
        </m:rad>
        <m:r>
          <m:t> </m:t>
        </m:r>
        <m:d>
          <m:dPr>
            <m:begChr m:val="("/>
            <m:endChr m:val=")"/>
            <m:grow/>
          </m:dPr>
          <m:e>
            <m:r>
              <m:t>2</m:t>
            </m:r>
          </m:e>
        </m:d>
      </m:oMath>
    </w:p>
    <w:p>
      <w:pPr>
        <w:pStyle w:val="BodyText"/>
      </w:pPr>
      <m:oMath>
        <m:r>
          <m:t>0.78</m:t>
        </m:r>
        <m:r>
          <m:t>−</m:t>
        </m:r>
        <m:r>
          <m:t>0.61</m:t>
        </m:r>
        <m:r>
          <m:t>±</m:t>
        </m:r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0.78</m:t>
                </m:r>
                <m:r>
                  <m:t>⋅</m:t>
                </m:r>
                <m:r>
                  <m:t>0.22</m:t>
                </m:r>
              </m:num>
              <m:den>
                <m:r>
                  <m:t>467</m:t>
                </m:r>
              </m:den>
            </m:f>
            <m:r>
              <m:t>+</m:t>
            </m:r>
            <m:f>
              <m:fPr>
                <m:type m:val="bar"/>
              </m:fPr>
              <m:num>
                <m:r>
                  <m:t>0.61</m:t>
                </m:r>
                <m:r>
                  <m:t>⋅</m:t>
                </m:r>
                <m:r>
                  <m:t>0.39</m:t>
                </m:r>
              </m:num>
              <m:den>
                <m:r>
                  <m:t>191</m:t>
                </m:r>
              </m:den>
            </m:f>
          </m:e>
        </m:rad>
        <m:r>
          <m:t> </m:t>
        </m:r>
        <m:d>
          <m:dPr>
            <m:begChr m:val="("/>
            <m:endChr m:val=")"/>
            <m:grow/>
          </m:dPr>
          <m:e>
            <m:r>
              <m:t>2</m:t>
            </m:r>
          </m:e>
        </m:d>
      </m:oMath>
    </w:p>
    <w:p>
      <w:pPr>
        <w:pStyle w:val="BodyText"/>
      </w:pPr>
      <m:oMath>
        <m:r>
          <m:t>0.17</m:t>
        </m:r>
        <m:r>
          <m:t>±</m:t>
        </m:r>
        <m:d>
          <m:dPr>
            <m:begChr m:val="("/>
            <m:endChr m:val=")"/>
            <m:grow/>
          </m:dPr>
          <m:e>
            <m:rad>
              <m:radPr>
                <m:degHide m:val="1"/>
              </m:radPr>
              <m:deg/>
              <m:e>
                <m:r>
                  <m:t>1.61</m:t>
                </m:r>
              </m:e>
            </m:rad>
            <m:sSup>
              <m:e>
                <m:r>
                  <m:t>E</m:t>
                </m:r>
              </m:e>
              <m:sup>
                <m:r>
                  <m:t>−</m:t>
                </m:r>
                <m:r>
                  <m:t>3</m:t>
                </m:r>
              </m:sup>
            </m:sSup>
          </m:e>
        </m:d>
        <m:r>
          <m:t> </m:t>
        </m:r>
        <m:d>
          <m:dPr>
            <m:begChr m:val="("/>
            <m:endChr m:val=")"/>
            <m:grow/>
          </m:dPr>
          <m:e>
            <m:r>
              <m:t>2</m:t>
            </m:r>
          </m:e>
        </m:d>
      </m:oMath>
    </w:p>
    <w:p>
      <w:pPr>
        <w:pStyle w:val="BodyText"/>
      </w:pPr>
      <m:oMath>
        <m:r>
          <m:t>0.17</m:t>
        </m:r>
        <m:r>
          <m:t>−</m:t>
        </m:r>
        <m:r>
          <m:t>0.0803</m:t>
        </m:r>
        <m:r>
          <m:t>≤</m:t>
        </m:r>
        <m:r>
          <m:t>0.17</m:t>
        </m:r>
        <m:r>
          <m:t>≤</m:t>
        </m:r>
        <m:r>
          <m:t>0.17</m:t>
        </m:r>
        <m:r>
          <m:t>+</m:t>
        </m:r>
        <m:r>
          <m:t>0.0803</m:t>
        </m:r>
      </m:oMath>
    </w:p>
    <w:p>
      <w:pPr>
        <w:pStyle w:val="BodyText"/>
      </w:pPr>
      <m:oMath>
        <m:d>
          <m:dPr>
            <m:begChr m:val="("/>
            <m:endChr m:val=")"/>
            <m:grow/>
          </m:dPr>
          <m:e>
            <m:r>
              <m:t>0.09</m:t>
            </m:r>
            <m:r>
              <m:t>≤</m:t>
            </m:r>
            <m:r>
              <m:t>0.17</m:t>
            </m:r>
            <m:r>
              <m:t>≤</m:t>
            </m:r>
            <m:r>
              <m:t>0.2503</m:t>
            </m:r>
          </m:e>
        </m:d>
        <m:r>
          <m:t>⋅</m:t>
        </m:r>
        <m:r>
          <m:t>100</m:t>
        </m:r>
        <m:r>
          <m:t>%</m:t>
        </m:r>
      </m:oMath>
    </w:p>
    <w:p>
      <w:pPr>
        <w:pStyle w:val="BodyText"/>
      </w:pPr>
      <m:oMath>
        <m:r>
          <m:t>9</m:t>
        </m:r>
        <m:r>
          <m:t>%</m:t>
        </m:r>
        <m:r>
          <m:t>≤</m:t>
        </m:r>
        <m:r>
          <m:t>17</m:t>
        </m:r>
        <m:r>
          <m:t>%</m:t>
        </m:r>
        <m:r>
          <m:t>≤</m:t>
        </m:r>
        <m:r>
          <m:t>25.03</m:t>
        </m:r>
        <m:r>
          <m:t>%</m:t>
        </m:r>
      </m:oMath>
    </w:p>
    <w:p>
      <w:pPr>
        <w:pStyle w:val="BodyText"/>
      </w:pPr>
      <w:r>
        <w:t xml:space="preserve"> </w:t>
      </w:r>
      <m:oMath>
        <m:r>
          <m:t>∴</m:t>
        </m:r>
      </m:oMath>
      <w:r>
        <w:t xml:space="preserve"> </w:t>
      </w:r>
      <w:r>
        <w:t xml:space="preserve">La diferencia de proporciones de personas fumadoras</w:t>
      </w:r>
      <w:r>
        <w:t xml:space="preserve"> </w:t>
      </w:r>
      <w:r>
        <w:t xml:space="preserve">con cálculos renales de las 2 ciudades se encuentra en un intervalo de: </w:t>
      </w:r>
      <w:r>
        <w:t xml:space="preserve"> </w:t>
      </w:r>
      <m:oMath>
        <m:r>
          <m:t>9</m:t>
        </m:r>
        <m:r>
          <m:t>%</m:t>
        </m:r>
        <m:r>
          <m:t>≤</m:t>
        </m:r>
        <m:r>
          <m:t>17</m:t>
        </m:r>
        <m:r>
          <m:t>%</m:t>
        </m:r>
        <m:r>
          <m:t>≤</m:t>
        </m:r>
        <m:r>
          <m:t>25.03</m:t>
        </m:r>
        <m:r>
          <m:t>%</m:t>
        </m:r>
      </m:oMath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3e45b0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 2</dc:title>
  <dc:creator>Roberto Gil Ortiz-Solis</dc:creator>
  <dcterms:created xsi:type="dcterms:W3CDTF">2020-03-04T23:59:13Z</dcterms:created>
  <dcterms:modified xsi:type="dcterms:W3CDTF">2020-03-04T23:59:13Z</dcterms:modified>
</cp:coreProperties>
</file>