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Assessment</w:t>
      </w:r>
      <w:r>
        <w:t xml:space="preserve"> </w:t>
      </w:r>
      <w:r>
        <w:t xml:space="preserve">of</w:t>
      </w:r>
      <w:r>
        <w:t xml:space="preserve"> </w:t>
      </w:r>
      <w:r>
        <w:t xml:space="preserve">Dynamically</w:t>
      </w:r>
      <w:r>
        <w:t xml:space="preserve"> </w:t>
      </w:r>
      <w:r>
        <w:t xml:space="preserve">Evaluated</w:t>
      </w:r>
      <w:r>
        <w:t xml:space="preserve"> </w:t>
      </w:r>
      <w:r>
        <w:t xml:space="preserve">Mixing</w:t>
      </w:r>
      <w:r>
        <w:t xml:space="preserve"> </w:t>
      </w:r>
      <w:r>
        <w:t xml:space="preserve">Time-Scales</w:t>
      </w:r>
      <w:r>
        <w:t xml:space="preserve"> </w:t>
      </w:r>
      <w:r>
        <w:t xml:space="preserve">for</w:t>
      </w:r>
      <w:r>
        <w:t xml:space="preserve"> </w:t>
      </w:r>
      <w:r>
        <w:t xml:space="preserve">MMC-LES</w:t>
      </w:r>
    </w:p>
    <w:p>
      <w:pPr>
        <w:pStyle w:val="Author"/>
      </w:pPr>
      <w:r>
        <w:t xml:space="preserve">Eshan</w:t>
      </w:r>
    </w:p>
    <w:p>
      <w:pPr>
        <w:pStyle w:val="Author"/>
      </w:pPr>
      <w:r>
        <w:t xml:space="preserve">sdeiitk</w:t>
      </w:r>
    </w:p>
    <w:p>
      <w:pPr>
        <w:pStyle w:val="Author"/>
      </w:pPr>
      <w:r>
        <w:t xml:space="preserve">m.cleary</w:t>
      </w:r>
    </w:p>
    <w:p>
      <w:pPr>
        <w:pStyle w:val="Abstract"/>
      </w:pPr>
      <w:r>
        <w:t xml:space="preserve">The</w:t>
      </w:r>
      <w:r>
        <w:t xml:space="preserve"> </w:t>
      </w:r>
      <w:r>
        <w:t xml:space="preserve">report</w:t>
      </w:r>
      <w:r>
        <w:t xml:space="preserve"> </w:t>
      </w:r>
      <w:r>
        <w:t xml:space="preserve">contains</w:t>
      </w:r>
      <w:r>
        <w:t xml:space="preserve"> </w:t>
      </w:r>
      <w:r>
        <w:t xml:space="preserve">the</w:t>
      </w:r>
      <w:r>
        <w:t xml:space="preserve"> </w:t>
      </w:r>
      <w:r>
        <w:t xml:space="preserve">predictions</w:t>
      </w:r>
      <w:r>
        <w:t xml:space="preserve"> </w:t>
      </w:r>
      <w:r>
        <w:t xml:space="preserve">of</w:t>
      </w:r>
      <w:r>
        <w:t xml:space="preserve"> </w:t>
      </w:r>
      <w:r>
        <w:t xml:space="preserve">Sandia</w:t>
      </w:r>
      <w:r>
        <w:t xml:space="preserve"> </w:t>
      </w:r>
      <w:r>
        <w:t xml:space="preserve">piloted</w:t>
      </w:r>
      <w:r>
        <w:t xml:space="preserve"> </w:t>
      </w:r>
      <w:r>
        <w:t xml:space="preserve">flames</w:t>
      </w:r>
      <w:r>
        <w:t xml:space="preserve"> </w:t>
      </w:r>
      <w:r>
        <w:t xml:space="preserve">D-F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dynamically</w:t>
      </w:r>
      <w:r>
        <w:t xml:space="preserve"> </w:t>
      </w:r>
      <w:r>
        <w:t xml:space="preserve">evaluated</w:t>
      </w:r>
      <w:r>
        <w:t xml:space="preserve"> </w:t>
      </w:r>
      <w:r>
        <w:t xml:space="preserve">minor</w:t>
      </w:r>
      <w:r>
        <w:t xml:space="preserve"> </w:t>
      </w:r>
      <w:r>
        <w:t xml:space="preserve">mixing</w:t>
      </w:r>
      <w:r>
        <w:t xml:space="preserve"> </w:t>
      </w:r>
      <w:r>
        <w:t xml:space="preserve">time</w:t>
      </w:r>
      <w:r>
        <w:t xml:space="preserve"> </w:t>
      </w:r>
      <w:r>
        <w:t xml:space="preserve">scale</w:t>
      </w:r>
      <w:r>
        <w:t xml:space="preserve"> </w:t>
      </w:r>
      <w:r>
        <w:t xml:space="preserve">model.</w:t>
      </w:r>
      <w:r>
        <w:t xml:space="preserve"> </w:t>
      </w:r>
      <w:r>
        <w:t xml:space="preserve">The</w:t>
      </w:r>
      <w:r>
        <w:t xml:space="preserve"> </w:t>
      </w:r>
      <w:r>
        <w:t xml:space="preserve">objective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study</w:t>
      </w:r>
      <w:r>
        <w:t xml:space="preserve"> </w:t>
      </w:r>
      <w:r>
        <w:t xml:space="preserve">is</w:t>
      </w:r>
      <w:r>
        <w:t xml:space="preserve"> </w:t>
      </w:r>
      <w:r>
        <w:t xml:space="preserve">to</w:t>
      </w:r>
      <w:r>
        <w:t xml:space="preserve"> </w:t>
      </w:r>
      <w:r>
        <w:t xml:space="preserve">eliminate</w:t>
      </w:r>
      <w:r>
        <w:t xml:space="preserve"> </w:t>
      </w:r>
      <w:r>
        <w:t xml:space="preserve">the</w:t>
      </w:r>
      <w:r>
        <w:t xml:space="preserve"> </w:t>
      </w:r>
      <w:r>
        <w:t xml:space="preserve">need</w:t>
      </w:r>
      <w:r>
        <w:t xml:space="preserve"> </w:t>
      </w:r>
      <w:r>
        <w:t xml:space="preserve">to</w:t>
      </w:r>
      <w:r>
        <w:t xml:space="preserve"> </w:t>
      </w:r>
      <w:r>
        <w:t xml:space="preserve">specify</w:t>
      </w:r>
      <w:r>
        <w:t xml:space="preserve"> </w:t>
      </w:r>
      <w:r>
        <w:t xml:space="preserve">any</w:t>
      </w:r>
      <w:r>
        <w:t xml:space="preserve"> </w:t>
      </w:r>
      <w:r>
        <w:t xml:space="preserve">static</w:t>
      </w:r>
      <w:r>
        <w:t xml:space="preserve"> </w:t>
      </w:r>
      <w:r>
        <w:t xml:space="preserve">constants</w:t>
      </w:r>
      <w:r>
        <w:t xml:space="preserve"> </w:t>
      </w:r>
      <w:r>
        <w:t xml:space="preserve">to</w:t>
      </w:r>
      <w:r>
        <w:t xml:space="preserve"> </w:t>
      </w:r>
      <w:r>
        <w:t xml:space="preserve">calculate</w:t>
      </w:r>
      <w:r>
        <w:t xml:space="preserve"> </w:t>
      </w:r>
      <w:r>
        <w:t xml:space="preserve">the</w:t>
      </w:r>
      <w:r>
        <w:t xml:space="preserve"> </w:t>
      </w:r>
      <w:r>
        <w:t xml:space="preserve">scalar</w:t>
      </w:r>
      <w:r>
        <w:t xml:space="preserve"> </w:t>
      </w:r>
      <w:r>
        <w:t xml:space="preserve">mixing</w:t>
      </w:r>
      <w:r>
        <w:t xml:space="preserve"> </w:t>
      </w:r>
      <w:r>
        <w:t xml:space="preserve">time</w:t>
      </w:r>
      <w:r>
        <w:t xml:space="preserve"> </w:t>
      </w:r>
      <w:r>
        <w:t xml:space="preserve">scale.</w:t>
      </w:r>
      <w:r>
        <w:t xml:space="preserve"> </w:t>
      </w:r>
      <w:r>
        <w:t xml:space="preserve">The</w:t>
      </w:r>
      <w:r>
        <w:t xml:space="preserve"> </w:t>
      </w:r>
      <w:r>
        <w:t xml:space="preserve">effect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variation</w:t>
      </w:r>
      <w:r>
        <w:t xml:space="preserve"> </w:t>
      </w:r>
      <w:r>
        <w:t xml:space="preserve">is</w:t>
      </w:r>
      <w:r>
        <w:t xml:space="preserve"> </w:t>
      </w:r>
      <w:r>
        <w:t xml:space="preserve">studied</w:t>
      </w:r>
      <w:r>
        <w:t xml:space="preserve"> </w:t>
      </w:r>
      <w:r>
        <w:t xml:space="preserve">for</w:t>
      </w:r>
      <w:r>
        <w:t xml:space="preserve"> </w:t>
      </w:r>
      <w:r>
        <w:t xml:space="preserve">a</w:t>
      </w:r>
      <w:r>
        <w:t xml:space="preserve"> </w:t>
      </w:r>
      <w:r>
        <w:t xml:space="preserve">piloted</w:t>
      </w:r>
      <w:r>
        <w:t xml:space="preserve"> </w:t>
      </w:r>
      <w:r>
        <w:t xml:space="preserve">Methane</w:t>
      </w:r>
      <w:r>
        <w:t xml:space="preserve"> </w:t>
      </w:r>
      <w:r>
        <w:t xml:space="preserve">flame</w:t>
      </w:r>
      <w:r>
        <w:t xml:space="preserve"> </w:t>
      </w:r>
      <w:r>
        <w:t xml:space="preserve">series</w:t>
      </w:r>
      <w:r>
        <w:t xml:space="preserve"> </w:t>
      </w:r>
      <w:r>
        <w:t xml:space="preserve">with</w:t>
      </w:r>
      <w:r>
        <w:t xml:space="preserve"> </w:t>
      </w:r>
      <w:r>
        <w:t xml:space="preserve">varying</w:t>
      </w:r>
      <w:r>
        <w:t xml:space="preserve"> </w:t>
      </w:r>
      <w:r>
        <w:t xml:space="preserve">levels</w:t>
      </w:r>
      <w:r>
        <w:t xml:space="preserve"> </w:t>
      </w:r>
      <w:r>
        <w:t xml:space="preserve">of</w:t>
      </w:r>
      <w:r>
        <w:t xml:space="preserve"> </w:t>
      </w:r>
      <w:r>
        <w:t xml:space="preserve">local</w:t>
      </w:r>
      <w:r>
        <w:t xml:space="preserve"> </w:t>
      </w:r>
      <w:r>
        <w:t xml:space="preserve">extinction.</w:t>
      </w:r>
      <w:r>
        <w:t xml:space="preserve"> </w:t>
      </w:r>
      <w:r>
        <w:t xml:space="preserve">The</w:t>
      </w:r>
      <w:r>
        <w:t xml:space="preserve"> </w:t>
      </w:r>
      <w:r>
        <w:t xml:space="preserve">time</w:t>
      </w:r>
      <w:r>
        <w:t xml:space="preserve"> </w:t>
      </w:r>
      <w:r>
        <w:t xml:space="preserve">scales,</w:t>
      </w:r>
      <w:r>
        <w:t xml:space="preserve"> </w:t>
      </w:r>
      <w:r>
        <w:t xml:space="preserve">evaluated</w:t>
      </w:r>
      <w:r>
        <w:t xml:space="preserve"> </w:t>
      </w:r>
      <w:r>
        <w:t xml:space="preserve">in</w:t>
      </w:r>
      <w:r>
        <w:t xml:space="preserve"> </w:t>
      </w:r>
      <w:r>
        <w:t xml:space="preserve">three</w:t>
      </w:r>
      <w:r>
        <w:t xml:space="preserve"> </w:t>
      </w:r>
      <w:r>
        <w:t xml:space="preserve">different</w:t>
      </w:r>
      <w:r>
        <w:t xml:space="preserve"> </w:t>
      </w:r>
      <w:r>
        <w:t xml:space="preserve">manner,</w:t>
      </w:r>
      <w:r>
        <w:t xml:space="preserve"> </w:t>
      </w:r>
      <w:r>
        <w:t xml:space="preserve">do</w:t>
      </w:r>
      <w:r>
        <w:t xml:space="preserve"> </w:t>
      </w:r>
      <w:r>
        <w:t xml:space="preserve">not</w:t>
      </w:r>
      <w:r>
        <w:t xml:space="preserve"> </w:t>
      </w:r>
      <w:r>
        <w:t xml:space="preserve">show</w:t>
      </w:r>
      <w:r>
        <w:t xml:space="preserve"> </w:t>
      </w:r>
      <w:r>
        <w:t xml:space="preserve">much</w:t>
      </w:r>
      <w:r>
        <w:t xml:space="preserve"> </w:t>
      </w:r>
      <w:r>
        <w:t xml:space="preserve">sensitivity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results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relatively</w:t>
      </w:r>
      <w:r>
        <w:t xml:space="preserve"> </w:t>
      </w:r>
      <w:r>
        <w:t xml:space="preserve">stable</w:t>
      </w:r>
      <w:r>
        <w:t xml:space="preserve"> </w:t>
      </w:r>
      <w:r>
        <w:t xml:space="preserve">flame</w:t>
      </w:r>
      <w:r>
        <w:t xml:space="preserve"> </w:t>
      </w:r>
      <w:r>
        <w:t xml:space="preserve">D,</w:t>
      </w:r>
      <w:r>
        <w:t xml:space="preserve"> </w:t>
      </w:r>
      <w:r>
        <w:t xml:space="preserve">while</w:t>
      </w:r>
      <w:r>
        <w:t xml:space="preserve"> </w:t>
      </w:r>
      <w:r>
        <w:t xml:space="preserve">significant</w:t>
      </w:r>
      <w:r>
        <w:t xml:space="preserve"> </w:t>
      </w:r>
      <w:r>
        <w:t xml:space="preserve">variation</w:t>
      </w:r>
      <w:r>
        <w:t xml:space="preserve"> </w:t>
      </w:r>
      <w:r>
        <w:t xml:space="preserve">is</w:t>
      </w:r>
      <w:r>
        <w:t xml:space="preserve"> </w:t>
      </w:r>
      <w:r>
        <w:t xml:space="preserve">seen</w:t>
      </w:r>
      <w:r>
        <w:t xml:space="preserve"> </w:t>
      </w:r>
      <w:r>
        <w:t xml:space="preserve">for</w:t>
      </w:r>
      <w:r>
        <w:t xml:space="preserve"> </w:t>
      </w:r>
      <w:r>
        <w:t xml:space="preserve">flame</w:t>
      </w:r>
      <w:r>
        <w:t xml:space="preserve"> </w:t>
      </w:r>
      <w:r>
        <w:t xml:space="preserve">F.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Heading1"/>
      </w:pPr>
      <w:bookmarkStart w:id="22" w:name="mathematical-modelling"/>
      <w:bookmarkEnd w:id="22"/>
      <w:r>
        <w:t xml:space="preserve">Mathematical Modelling</w:t>
      </w:r>
    </w:p>
    <w:p>
      <w:pPr>
        <w:pStyle w:val="Heading2"/>
      </w:pPr>
      <w:bookmarkStart w:id="23" w:name="numerical-details"/>
      <w:bookmarkEnd w:id="23"/>
      <w:r>
        <w:t xml:space="preserve">Numerical Details</w:t>
      </w:r>
    </w:p>
    <w:p>
      <w:pPr>
        <w:pStyle w:val="Heading4"/>
      </w:pPr>
      <w:bookmarkStart w:id="24" w:name="mesh"/>
      <w:bookmarkEnd w:id="24"/>
      <w:r>
        <w:t xml:space="preserve">Mesh</w:t>
      </w:r>
    </w:p>
    <w:p>
      <w:pPr>
        <w:pStyle w:val="FirstParagraph"/>
      </w:pPr>
      <w:r>
        <w:t xml:space="preserve">The domain is a cylinder with a length of</w:t>
      </w:r>
      <w:r>
        <w:t xml:space="preserve"> </w:t>
      </w:r>
      <m:oMath>
        <m:r>
          <m:t>35</m:t>
        </m:r>
        <m:sSub>
          <m:e>
            <m:r>
              <m:t>D</m:t>
            </m:r>
          </m:e>
          <m:sub>
            <m:r>
              <m:t>j</m:t>
            </m:r>
            <m:r>
              <m:t>e</m:t>
            </m:r>
            <m:r>
              <m:t>t</m:t>
            </m:r>
          </m:sub>
        </m:sSub>
      </m:oMath>
      <w:r>
        <w:t xml:space="preserve"> </w:t>
      </w:r>
      <w:r>
        <w:t xml:space="preserve">and diameter of</w:t>
      </w:r>
      <w:r>
        <w:t xml:space="preserve"> </w:t>
      </w:r>
      <m:oMath>
        <m:r>
          <m:t>28</m:t>
        </m:r>
        <m:sSub>
          <m:e>
            <m:r>
              <m:t>D</m:t>
            </m:r>
          </m:e>
          <m:sub>
            <m:r>
              <m:t>j</m:t>
            </m:r>
            <m:r>
              <m:t>e</m:t>
            </m:r>
            <m:r>
              <m:t>t</m:t>
            </m:r>
          </m:sub>
        </m:sSub>
      </m:oMath>
      <w:r>
        <w:t xml:space="preserve">. The LES mesh is discretised into</w:t>
      </w:r>
      <w:r>
        <w:t xml:space="preserve"> </w:t>
      </w:r>
      <m:oMath>
        <m:r>
          <m:t>2.24</m:t>
        </m:r>
      </m:oMath>
      <w:r>
        <w:t xml:space="preserve">M cells approximately (</w:t>
      </w:r>
      <m:oMath>
        <m:r>
          <m:t>77</m:t>
        </m:r>
        <m:r>
          <m:t>(</m:t>
        </m:r>
        <m:r>
          <m:t>r</m:t>
        </m:r>
        <m:r>
          <m:t>)</m:t>
        </m:r>
        <m:r>
          <m:t>x</m:t>
        </m:r>
        <m:r>
          <m:t>64</m:t>
        </m:r>
        <m:r>
          <m:t>(</m:t>
        </m:r>
        <m:r>
          <m:t>θ</m:t>
        </m:r>
        <m:r>
          <m:t>)</m:t>
        </m:r>
        <m:r>
          <m:t>x</m:t>
        </m:r>
        <m:r>
          <m:t>480</m:t>
        </m:r>
        <m:r>
          <m:t>(</m:t>
        </m:r>
        <m:r>
          <m:t>z</m:t>
        </m:r>
        <m:r>
          <m:t>)</m:t>
        </m:r>
      </m:oMath>
      <w:r>
        <w:t xml:space="preserve">.</w:t>
      </w:r>
      <w:r>
        <w:t xml:space="preserve"> </w:t>
      </w:r>
      <w:r>
        <w:t xml:space="preserve">The secondary mesh, used to control the particle resolution, has around</w:t>
      </w:r>
      <w:r>
        <w:t xml:space="preserve"> </w:t>
      </w:r>
      <m:oMath>
        <m:r>
          <m:t>19.2</m:t>
        </m:r>
      </m:oMath>
      <w:r>
        <w:t xml:space="preserve">K cells.</w:t>
      </w:r>
    </w:p>
    <w:p>
      <w:pPr>
        <w:pStyle w:val="Heading4"/>
      </w:pPr>
      <w:bookmarkStart w:id="25" w:name="particle-resolution"/>
      <w:bookmarkEnd w:id="25"/>
      <w:r>
        <w:t xml:space="preserve">Particle Resolution</w:t>
      </w:r>
    </w:p>
    <w:p>
      <w:pPr>
        <w:pStyle w:val="FirstParagraph"/>
      </w:pPr>
      <w:r>
        <w:t xml:space="preserve">Maximum of</w:t>
      </w:r>
      <w:r>
        <w:t xml:space="preserve"> </w:t>
      </w:r>
      <m:oMath>
        <m:r>
          <m:t>0.43</m:t>
        </m:r>
      </m:oMath>
      <w:r>
        <w:t xml:space="preserve">M particles exist in the computational domain with</w:t>
      </w:r>
      <w:r>
        <w:t xml:space="preserve"> </w:t>
      </w:r>
      <m:oMath>
        <m:sSub>
          <m:e>
            <m:r>
              <m:t>N</m:t>
            </m:r>
          </m:e>
          <m:sub>
            <m:r>
              <m:t>p</m:t>
            </m:r>
            <m:r>
              <m:t>c</m:t>
            </m:r>
          </m:sub>
        </m:sSub>
        <m:r>
          <m:t>=</m:t>
        </m:r>
        <m:r>
          <m:t>20</m:t>
        </m:r>
      </m:oMath>
      <w:r>
        <w:t xml:space="preserve"> </w:t>
      </w:r>
      <w:r>
        <w:t xml:space="preserve">and resolution</w:t>
      </w:r>
      <w:r>
        <w:t xml:space="preserve"> </w:t>
      </w:r>
      <m:oMath>
        <m:r>
          <m:t>1</m:t>
        </m:r>
        <m:r>
          <m:t>L</m:t>
        </m:r>
        <m:r>
          <m:t>/</m:t>
        </m:r>
        <m:r>
          <m:t>6</m:t>
        </m:r>
        <m:r>
          <m:t>E</m:t>
        </m:r>
      </m:oMath>
      <w:r>
        <w:t xml:space="preserve">.</w:t>
      </w:r>
    </w:p>
    <w:p>
      <w:pPr>
        <w:pStyle w:val="Heading4"/>
      </w:pPr>
      <w:bookmarkStart w:id="26" w:name="chemical-mechanism"/>
      <w:bookmarkEnd w:id="26"/>
      <w:r>
        <w:t xml:space="preserve">Chemical Mechanism</w:t>
      </w:r>
    </w:p>
    <w:p>
      <w:pPr>
        <w:pStyle w:val="FirstParagraph"/>
      </w:pPr>
      <w:r>
        <w:t xml:space="preserve">A</w:t>
      </w:r>
      <w:r>
        <w:t xml:space="preserve"> </w:t>
      </w:r>
      <m:oMath>
        <m:r>
          <m:t>30</m:t>
        </m:r>
      </m:oMath>
      <w:r>
        <w:t xml:space="preserve">-species skeletal mechanism, based on GRI 3.0, developed by Lu and Law is used</w:t>
      </w:r>
      <w:r>
        <w:t xml:space="preserve"> </w:t>
      </w:r>
      <w:r>
        <w:rPr>
          <w:vertAlign w:val="superscript"/>
        </w:rPr>
        <w:t xml:space="preserve">1</w:t>
      </w:r>
      <w:r>
        <w:t xml:space="preserve">.</w:t>
      </w:r>
    </w:p>
    <w:p>
      <w:pPr>
        <w:pStyle w:val="Heading4"/>
      </w:pPr>
      <w:bookmarkStart w:id="27" w:name="inlet-b.c."/>
      <w:bookmarkEnd w:id="27"/>
      <w:r>
        <w:t xml:space="preserve">Inlet B.C.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jet</w:t>
      </w:r>
      <w:r>
        <w:t xml:space="preserve"> </w:t>
      </w:r>
      <w:r>
        <w:t xml:space="preserve">was imposed with an instantaneous velocity profile from precursor pipe flow simulation with the</w:t>
      </w:r>
      <w:r>
        <w:t xml:space="preserve"> </w:t>
      </w:r>
      <w:r>
        <w:rPr>
          <w:b/>
        </w:rPr>
        <w:t xml:space="preserve">mean and rms scaled</w:t>
      </w:r>
      <w:r>
        <w:t xml:space="preserve"> </w:t>
      </w:r>
      <w:r>
        <w:t xml:space="preserve">up with the centreline experimental measurements.</w:t>
      </w:r>
      <w:r>
        <w:br w:type="textWrapping"/>
      </w:r>
      <w:r>
        <w:t xml:space="preserve">The</w:t>
      </w:r>
      <w:r>
        <w:t xml:space="preserve"> </w:t>
      </w:r>
      <w:r>
        <w:rPr>
          <w:b/>
        </w:rPr>
        <w:t xml:space="preserve">pilot</w:t>
      </w:r>
      <w:r>
        <w:t xml:space="preserve"> </w:t>
      </w:r>
      <w:r>
        <w:t xml:space="preserve">was provided top-hat velocity profile using measured bulk velocity with imposed artificial turbulent fluctuations using the Turbulent Spot method</w:t>
      </w:r>
      <w:r>
        <w:t xml:space="preserve"> </w:t>
      </w:r>
      <w:r>
        <w:rPr>
          <w:vertAlign w:val="superscript"/>
        </w:rPr>
        <w:t xml:space="preserve">2</w:t>
      </w:r>
      <w:r>
        <w:t xml:space="preserve">. The</w:t>
      </w:r>
      <w:r>
        <w:t xml:space="preserve"> </w:t>
      </w:r>
      <w:r>
        <w:rPr>
          <w:b/>
        </w:rPr>
        <w:t xml:space="preserve">co-flow</w:t>
      </w:r>
      <w:r>
        <w:t xml:space="preserve"> </w:t>
      </w:r>
      <w:r>
        <w:t xml:space="preserve">was laminar with experimental bulk velocities. All other scalars were provided uniform boundary values from the measurements.</w:t>
      </w:r>
    </w:p>
    <w:p>
      <w:pPr>
        <w:pStyle w:val="Heading4"/>
      </w:pPr>
      <w:bookmarkStart w:id="28" w:name="integration-schemes"/>
      <w:bookmarkEnd w:id="28"/>
      <w:r>
        <w:t xml:space="preserve">Integration Schemes</w:t>
      </w:r>
    </w:p>
    <w:p>
      <w:pPr>
        <w:pStyle w:val="FirstParagraph"/>
      </w:pPr>
      <w:r>
        <w:t xml:space="preserve">A second order central differencing scheme is used for the convective terms in the finite volume momentum equation while the scalar equations use a second order accurate NVD schemes</w:t>
      </w:r>
      <w:r>
        <w:t xml:space="preserve"> </w:t>
      </w:r>
      <w:r>
        <w:rPr>
          <w:vertAlign w:val="superscript"/>
        </w:rPr>
        <w:t xml:space="preserve">3</w:t>
      </w:r>
      <w:r>
        <w:t xml:space="preserve">. The finite volume equations are marched in time using fully implicit Crank-Nicolson scheme. The particle ODE’s, on the other hand, are limited to first order Euler integration.</w:t>
      </w:r>
    </w:p>
    <w:p>
      <w:pPr>
        <w:pStyle w:val="Heading4"/>
      </w:pPr>
      <w:bookmarkStart w:id="29" w:name="mixing-time-scale"/>
      <w:bookmarkEnd w:id="29"/>
      <w:r>
        <w:t xml:space="preserve">Mixing Time Scale</w:t>
      </w:r>
    </w:p>
    <w:p>
      <w:pPr>
        <w:pStyle w:val="FirstParagraph"/>
      </w:pPr>
      <w:r>
        <w:t xml:space="preserve">An anisotropic minor mixing time scale</w:t>
      </w:r>
      <w:r>
        <w:t xml:space="preserve"> </w:t>
      </w:r>
      <w:r>
        <w:rPr>
          <w:vertAlign w:val="superscript"/>
        </w:rPr>
        <w:t xml:space="preserve">4</w:t>
      </w:r>
      <w:r>
        <w:t xml:space="preserve"> </w:t>
      </w:r>
      <w:r>
        <w:t xml:space="preserve">is used for the all the simulations. The three variations of the mixing time scale are shown in Table ???. The mixing pairs were advanced with a harmonic mean of the time scales of the two particles.</w:t>
      </w:r>
    </w:p>
    <w:p>
      <w:pPr>
        <w:pStyle w:val="BodyText"/>
      </w:pPr>
      <w:r>
        <w:t xml:space="preserve">llr</w:t>
      </w:r>
      <w:r>
        <w:br w:type="textWrapping"/>
      </w:r>
      <w:r>
        <w:t xml:space="preserve">(r)</w:t>
      </w:r>
      <w:r>
        <w:t xml:space="preserve">1-2</w:t>
      </w:r>
      <w:r>
        <w:t xml:space="preserve"> </w:t>
      </w:r>
      <w:r>
        <w:t xml:space="preserve">Time Scale &amp; Description</w:t>
      </w:r>
      <w:r>
        <w:br w:type="textWrapping"/>
      </w:r>
      <w:r>
        <w:t xml:space="preserve">dyn-aISO &amp; dynamic</w:t>
      </w:r>
      <w:r>
        <w:t xml:space="preserve"> </w:t>
      </w:r>
      <m:oMath>
        <m:sSub>
          <m:e>
            <m:r>
              <m:t>ν</m:t>
            </m:r>
          </m:e>
          <m:sub>
            <m:r>
              <m:t>s</m:t>
            </m:r>
            <m:r>
              <m:t>g</m:t>
            </m:r>
            <m:r>
              <m:t>s</m:t>
            </m:r>
          </m:sub>
        </m:sSub>
      </m:oMath>
      <w:r>
        <w:t xml:space="preserve">,</w:t>
      </w:r>
      <w:r>
        <w:t xml:space="preserve"> </w:t>
      </w:r>
      <m:oMath>
        <m:groupChr>
          <m:groupChrPr>
            <m:chr m:val="˜"/>
            <m:pos m:val="top"/>
            <m:vertJc m:val="bot"/>
          </m:groupChrPr>
          <m:e>
            <m:sSub>
              <m:e>
                <m:r>
                  <m:t>f</m:t>
                </m:r>
              </m:e>
              <m:sub>
                <m:r>
                  <m:t>L</m:t>
                </m:r>
              </m:sub>
            </m:sSub>
            <m:sSup>
              <m:e>
                <m:r>
                  <m:t>′</m:t>
                </m:r>
              </m:e>
              <m:sup>
                <m:r>
                  <m:t>2</m:t>
                </m:r>
              </m:sup>
            </m:sSup>
          </m:e>
        </m:groupChr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χ</m:t>
            </m:r>
          </m:e>
          <m:sub>
            <m:r>
              <m:t>L</m:t>
            </m:r>
          </m:sub>
          <m:sup>
            <m:r>
              <m:t>s</m:t>
            </m:r>
            <m:r>
              <m:t>g</m:t>
            </m:r>
            <m:r>
              <m:t>s</m:t>
            </m:r>
          </m:sup>
        </m:sSubSup>
      </m:oMath>
      <w:r>
        <w:br w:type="textWrapping"/>
      </w:r>
      <w:r>
        <w:t xml:space="preserve">constCf &amp; dynamic</w:t>
      </w:r>
      <w:r>
        <w:t xml:space="preserve"> </w:t>
      </w:r>
      <m:oMath>
        <m:sSub>
          <m:e>
            <m:r>
              <m:t>ν</m:t>
            </m:r>
          </m:e>
          <m:sub>
            <m:r>
              <m:t>s</m:t>
            </m:r>
            <m:r>
              <m:t>g</m:t>
            </m:r>
            <m:r>
              <m:t>s</m:t>
            </m:r>
          </m:sub>
        </m:sSub>
      </m:oMath>
      <w:r>
        <w:t xml:space="preserve">,</w:t>
      </w:r>
      <w:r>
        <w:t xml:space="preserve"> </w:t>
      </w:r>
      <m:oMath>
        <m:sSubSup>
          <m:e>
            <m:r>
              <m:t>χ</m:t>
            </m:r>
          </m:e>
          <m:sub>
            <m:r>
              <m:t>L</m:t>
            </m:r>
          </m:sub>
          <m:sup>
            <m:r>
              <m:t>s</m:t>
            </m:r>
            <m:r>
              <m:t>g</m:t>
            </m:r>
            <m:r>
              <m:t>s</m:t>
            </m:r>
          </m:sup>
        </m:sSubSup>
      </m:oMath>
      <w:r>
        <w:t xml:space="preserve">, but static</w:t>
      </w:r>
      <w:r>
        <w:t xml:space="preserve"> </w:t>
      </w:r>
      <m:oMath>
        <m:groupChr>
          <m:groupChrPr>
            <m:chr m:val="˜"/>
            <m:pos m:val="top"/>
            <m:vertJc m:val="bot"/>
          </m:groupChrPr>
          <m:e>
            <m:sSub>
              <m:e>
                <m:r>
                  <m:t>f</m:t>
                </m:r>
              </m:e>
              <m:sub>
                <m:r>
                  <m:t>L</m:t>
                </m:r>
              </m:sub>
            </m:sSub>
            <m:sSup>
              <m:e>
                <m:r>
                  <m:t>′</m:t>
                </m:r>
              </m:e>
              <m:sup>
                <m:r>
                  <m:t>2</m:t>
                </m:r>
              </m:sup>
            </m:sSup>
          </m:e>
        </m:groupChr>
      </m:oMath>
      <w:r>
        <w:t xml:space="preserve"> </w:t>
      </w:r>
      <w:r>
        <w:t xml:space="preserve">(</w:t>
      </w:r>
      <m:oMath>
        <m:sSub>
          <m:e>
            <m:r>
              <m:t>C</m:t>
            </m:r>
          </m:e>
          <m:sub>
            <m:r>
              <m:t>f</m:t>
            </m:r>
          </m:sub>
        </m:sSub>
        <m:r>
          <m:t>=</m:t>
        </m:r>
        <m:r>
          <m:t>0.1</m:t>
        </m:r>
      </m:oMath>
      <w:r>
        <w:t xml:space="preserve">)</w:t>
      </w:r>
      <w:r>
        <w:br w:type="textWrapping"/>
      </w:r>
      <w:r>
        <w:t xml:space="preserve">st-aISO &amp; fixed coeff. for</w:t>
      </w:r>
      <w:r>
        <w:t xml:space="preserve"> </w:t>
      </w:r>
      <m:oMath>
        <m:sSub>
          <m:e>
            <m:r>
              <m:t>ν</m:t>
            </m:r>
          </m:e>
          <m:sub>
            <m:r>
              <m:t>s</m:t>
            </m:r>
            <m:r>
              <m:t>g</m:t>
            </m:r>
            <m:r>
              <m:t>s</m:t>
            </m:r>
          </m:sub>
        </m:sSub>
      </m:oMath>
      <w:r>
        <w:t xml:space="preserve"> </w:t>
      </w:r>
      <w:r>
        <w:t xml:space="preserve">(</w:t>
      </w:r>
      <m:oMath>
        <m:sSub>
          <m:e>
            <m:r>
              <m:t>C</m:t>
            </m:r>
          </m:e>
          <m:sub>
            <m:r>
              <m:t>s</m:t>
            </m:r>
          </m:sub>
        </m:sSub>
        <m:r>
          <m:t>=</m:t>
        </m:r>
        <m:r>
          <m:t>0.16</m:t>
        </m:r>
      </m:oMath>
      <w:r>
        <w:t xml:space="preserve">),</w:t>
      </w:r>
      <w:r>
        <w:t xml:space="preserve"> </w:t>
      </w:r>
      <m:oMath>
        <m:groupChr>
          <m:groupChrPr>
            <m:chr m:val="˜"/>
            <m:pos m:val="top"/>
            <m:vertJc m:val="bot"/>
          </m:groupChrPr>
          <m:e>
            <m:sSub>
              <m:e>
                <m:r>
                  <m:t>f</m:t>
                </m:r>
              </m:e>
              <m:sub>
                <m:r>
                  <m:t>L</m:t>
                </m:r>
              </m:sub>
            </m:sSub>
            <m:sSup>
              <m:e>
                <m:r>
                  <m:t>′</m:t>
                </m:r>
              </m:e>
              <m:sup>
                <m:r>
                  <m:t>2</m:t>
                </m:r>
              </m:sup>
            </m:sSup>
          </m:e>
        </m:groupChr>
      </m:oMath>
      <w:r>
        <w:t xml:space="preserve"> </w:t>
      </w:r>
      <w:r>
        <w:t xml:space="preserve">(</w:t>
      </w:r>
      <m:oMath>
        <m:sSub>
          <m:e>
            <m:r>
              <m:t>C</m:t>
            </m:r>
          </m:e>
          <m:sub>
            <m:r>
              <m:t>f</m:t>
            </m:r>
          </m:sub>
        </m:sSub>
        <m:r>
          <m:t>=</m:t>
        </m:r>
        <m:r>
          <m:t>0.1</m:t>
        </m:r>
      </m:oMath>
      <w:r>
        <w:t xml:space="preserve">) and</w:t>
      </w:r>
      <w:r>
        <w:t xml:space="preserve"> </w:t>
      </w:r>
      <m:oMath>
        <m:sSubSup>
          <m:e>
            <m:r>
              <m:t>χ</m:t>
            </m:r>
          </m:e>
          <m:sub>
            <m:r>
              <m:t>L</m:t>
            </m:r>
          </m:sub>
          <m:sup>
            <m:r>
              <m:t>s</m:t>
            </m:r>
            <m:r>
              <m:t>g</m:t>
            </m:r>
            <m:r>
              <m:t>s</m:t>
            </m:r>
          </m:sup>
        </m:sSubSup>
      </m:oMath>
      <w:r>
        <w:t xml:space="preserve"> </w:t>
      </w:r>
      <w:r>
        <w:t xml:space="preserve">(</w:t>
      </w:r>
      <m:oMath>
        <m:sSub>
          <m:e>
            <m:r>
              <m:t>C</m:t>
            </m:r>
          </m:e>
          <m:sub>
            <m:r>
              <m:t>d</m:t>
            </m:r>
          </m:sub>
        </m:sSub>
        <m:r>
          <m:t>=</m:t>
        </m:r>
        <m:r>
          <m:t>0.4</m:t>
        </m:r>
      </m:oMath>
      <w:r>
        <w:t xml:space="preserve">)</w:t>
      </w:r>
      <w:r>
        <w:br w:type="textWrapping"/>
      </w:r>
    </w:p>
    <w:p>
      <w:pPr>
        <w:pStyle w:val="Heading1"/>
      </w:pPr>
      <w:bookmarkStart w:id="30" w:name="result-and-discussion"/>
      <w:bookmarkEnd w:id="30"/>
      <w:r>
        <w:t xml:space="preserve">Result and Discussion</w:t>
      </w:r>
    </w:p>
    <w:p>
      <w:pPr>
        <w:pStyle w:val="FirstParagraph"/>
      </w:pPr>
      <w:r>
        <w:t xml:space="preserve">In this section, predictions only with the dynamically evaluated mixing model are shown in comparisons with the experiments. Note these flames with were studied previously</w:t>
      </w:r>
      <w:r>
        <w:t xml:space="preserve"> </w:t>
      </w:r>
      <w:r>
        <w:rPr>
          <w:vertAlign w:val="superscript"/>
        </w:rPr>
        <w:t xml:space="preserve">5,6</w:t>
      </w:r>
      <w:r>
        <w:t xml:space="preserve"> </w:t>
      </w:r>
      <w:r>
        <w:t xml:space="preserve">with a different mixing model which is known to suppress conditional fluctuations. In the next section, we compare three variations of the anisotropic mixing time scale model, which gives a better estimate of the dissipation of minor scalar fluctuations</w:t>
      </w:r>
      <w:r>
        <w:t xml:space="preserve"> </w:t>
      </w:r>
      <w:r>
        <w:rPr>
          <w:vertAlign w:val="superscript"/>
        </w:rPr>
        <w:t xml:space="preserve">4</w:t>
      </w:r>
      <w:r>
        <w:t xml:space="preserve">.</w:t>
      </w:r>
    </w:p>
    <w:p>
      <w:pPr>
        <w:pStyle w:val="Heading1"/>
      </w:pPr>
      <w:bookmarkStart w:id="31" w:name="non-latex-section"/>
      <w:bookmarkEnd w:id="31"/>
      <w:r>
        <w:t xml:space="preserve">Non-LaTeX Section</w:t>
      </w:r>
    </w:p>
    <w:p>
      <w:pPr>
        <w:pStyle w:val="FirstParagraph"/>
      </w:pPr>
      <w:r>
        <w:t xml:space="preserve">Integer in metus aliquam, cursus dolor eu,</w:t>
      </w:r>
      <w:r>
        <w:t xml:space="preserve"> </w:t>
      </w:r>
      <w:r>
        <w:rPr>
          <w:b/>
        </w:rPr>
        <w:t xml:space="preserve">maximus arcu</w:t>
      </w:r>
      <w:r>
        <w:t xml:space="preserve">.</w:t>
      </w:r>
      <w:r>
        <w:t xml:space="preserve"> </w:t>
      </w:r>
      <w:r>
        <w:t xml:space="preserve">Integer vel finibus odio. Maecenas sit amet rhoncus purus. Ut molestie</w:t>
      </w:r>
      <w:r>
        <w:t xml:space="preserve"> </w:t>
      </w:r>
      <w:r>
        <w:t xml:space="preserve">augue vel magna rutrum fermentum. Curabitur eleifend, nisl non rutrum</w:t>
      </w:r>
      <w:r>
        <w:t xml:space="preserve"> </w:t>
      </w:r>
      <w:r>
        <w:t xml:space="preserve">auctor, diam sapien rutrum purus, quis dictum erat leo in leo.</w:t>
      </w:r>
      <w:r>
        <w:t xml:space="preserve"> </w:t>
      </w:r>
      <w:r>
        <w:t xml:space="preserve">Vestibulum semper, velit non malesuada sagittis, tortor dolor</w:t>
      </w:r>
      <w:r>
        <w:t xml:space="preserve"> </w:t>
      </w:r>
      <w:r>
        <w:t xml:space="preserve">sollicitudin enim, sed ullamcorper tellus diam vitae est. Nullam auctor</w:t>
      </w:r>
      <w:r>
        <w:t xml:space="preserve"> </w:t>
      </w:r>
      <w:r>
        <w:t xml:space="preserve">dui ac ultricies porta. Aliquam erat volutpat. Maecenas finibus ultrices</w:t>
      </w:r>
      <w:r>
        <w:t xml:space="preserve"> </w:t>
      </w:r>
      <w:r>
        <w:t xml:space="preserve">felis eu congue. Integer pulvinar, elit sed mollis aliquet, magna turpis</w:t>
      </w:r>
      <w:r>
        <w:t xml:space="preserve"> </w:t>
      </w:r>
      <w:r>
        <w:t xml:space="preserve">molestie nisi, sed auctor justo massa vitae felis. Vivamus dui justo,</w:t>
      </w:r>
      <w:r>
        <w:t xml:space="preserve"> </w:t>
      </w:r>
      <w:r>
        <w:t xml:space="preserve">auctor non magna eget, varius dapibus augue. </w:t>
      </w:r>
    </w:p>
    <w:p>
      <w:pPr>
        <w:pStyle w:val="Heading1"/>
      </w:pPr>
      <w:bookmarkStart w:id="32" w:name="references"/>
      <w:bookmarkEnd w:id="32"/>
      <w:r>
        <w:t xml:space="preserve">References</w:t>
      </w:r>
    </w:p>
    <w:p>
      <w:pPr>
        <w:pStyle w:val="FirstParagraph"/>
      </w:pPr>
      <w:r>
        <w:t xml:space="preserve">1.Lu, T. &amp; Law, C. K.</w:t>
      </w:r>
      <w:r>
        <w:t xml:space="preserve"> </w:t>
      </w:r>
      <w:r>
        <w:t xml:space="preserve">A criterion based on computational singular perturbation for the identification of quasi steady state species: A reduced mechanism for methane oxidation with NO chemistry</w:t>
      </w:r>
      <w:r>
        <w:t xml:space="preserve">.</w:t>
      </w:r>
      <w:r>
        <w:t xml:space="preserve"> </w:t>
      </w:r>
      <w:r>
        <w:rPr>
          <w:i/>
        </w:rPr>
        <w:t xml:space="preserve">Combustion and Flame</w:t>
      </w:r>
      <w:r>
        <w:t xml:space="preserve"> </w:t>
      </w:r>
      <w:r>
        <w:rPr>
          <w:b/>
        </w:rPr>
        <w:t xml:space="preserve">154</w:t>
      </w:r>
      <w:r>
        <w:t xml:space="preserve">, 761–774 (2008).</w:t>
      </w:r>
    </w:p>
    <w:p>
      <w:pPr>
        <w:pStyle w:val="BodyText"/>
      </w:pPr>
      <w:r>
        <w:t xml:space="preserve">2.Kr</w:t>
      </w:r>
      <w:r>
        <w:t xml:space="preserve">ö</w:t>
      </w:r>
      <w:r>
        <w:t xml:space="preserve">ger, H. &amp; Kornev, N.</w:t>
      </w:r>
      <w:r>
        <w:t xml:space="preserve"> </w:t>
      </w:r>
      <w:r>
        <w:t xml:space="preserve">Generation of divergence free synthetic inflow turbulence with arbitrary anisotropy</w:t>
      </w:r>
      <w:r>
        <w:t xml:space="preserve">.</w:t>
      </w:r>
      <w:r>
        <w:t xml:space="preserve"> </w:t>
      </w:r>
      <w:r>
        <w:rPr>
          <w:i/>
        </w:rPr>
        <w:t xml:space="preserve">Computers and Fluids</w:t>
      </w:r>
      <w:r>
        <w:t xml:space="preserve"> </w:t>
      </w:r>
      <w:r>
        <w:rPr>
          <w:b/>
        </w:rPr>
        <w:t xml:space="preserve">165</w:t>
      </w:r>
      <w:r>
        <w:t xml:space="preserve">, 78–88 (2018).</w:t>
      </w:r>
    </w:p>
    <w:p>
      <w:pPr>
        <w:pStyle w:val="BodyText"/>
      </w:pPr>
      <w:r>
        <w:t xml:space="preserve">3.Jasak, H.</w:t>
      </w:r>
      <w:r>
        <w:t xml:space="preserve"> </w:t>
      </w:r>
      <w:r>
        <w:t xml:space="preserve">Error analysis and estimation for finite volume method with applications to fluid flow</w:t>
      </w:r>
      <w:r>
        <w:t xml:space="preserve">.</w:t>
      </w:r>
      <w:r>
        <w:t xml:space="preserve"> </w:t>
      </w:r>
      <w:r>
        <w:rPr>
          <w:b/>
        </w:rPr>
        <w:t xml:space="preserve">M</w:t>
      </w:r>
      <w:r>
        <w:t xml:space="preserve">, (1996).</w:t>
      </w:r>
    </w:p>
    <w:p>
      <w:pPr>
        <w:pStyle w:val="BodyText"/>
      </w:pPr>
      <w:r>
        <w:t xml:space="preserve">4.Vo, S., Stein, O. T., Kronenburg, A. &amp; Cleary, M. J.</w:t>
      </w:r>
      <w:r>
        <w:t xml:space="preserve"> </w:t>
      </w:r>
      <w:r>
        <w:t xml:space="preserve">Assessment of mixing time scales for a sparse particle method</w:t>
      </w:r>
      <w:r>
        <w:t xml:space="preserve">.</w:t>
      </w:r>
      <w:r>
        <w:t xml:space="preserve"> </w:t>
      </w:r>
      <w:r>
        <w:rPr>
          <w:i/>
        </w:rPr>
        <w:t xml:space="preserve">Combustion and Flame</w:t>
      </w:r>
      <w:r>
        <w:t xml:space="preserve"> </w:t>
      </w:r>
      <w:r>
        <w:rPr>
          <w:b/>
        </w:rPr>
        <w:t xml:space="preserve">179</w:t>
      </w:r>
      <w:r>
        <w:t xml:space="preserve">, 280–299 (2017).</w:t>
      </w:r>
    </w:p>
    <w:p>
      <w:pPr>
        <w:pStyle w:val="BodyText"/>
      </w:pPr>
      <w:r>
        <w:t xml:space="preserve">5.Ge, Y., Cleary, M. J. &amp; Klimenko, A. Y.</w:t>
      </w:r>
      <w:r>
        <w:t xml:space="preserve"> </w:t>
      </w:r>
      <w:r>
        <w:t xml:space="preserve">Sparse-Lagrangian FDF simulations of Sandia Flame E with density coupling</w:t>
      </w:r>
      <w:r>
        <w:t xml:space="preserve">.</w:t>
      </w:r>
      <w:r>
        <w:t xml:space="preserve"> </w:t>
      </w:r>
      <w:r>
        <w:rPr>
          <w:i/>
        </w:rPr>
        <w:t xml:space="preserve">Proceedings of the Combustion Institute</w:t>
      </w:r>
      <w:r>
        <w:t xml:space="preserve"> </w:t>
      </w:r>
      <w:r>
        <w:rPr>
          <w:b/>
        </w:rPr>
        <w:t xml:space="preserve">33</w:t>
      </w:r>
      <w:r>
        <w:t xml:space="preserve">, 1401–1409 (2011).</w:t>
      </w:r>
    </w:p>
    <w:p>
      <w:pPr>
        <w:pStyle w:val="BodyText"/>
      </w:pPr>
      <w:r>
        <w:t xml:space="preserve">6.Ge, Y., Cleary, M. J. &amp; Klimenko, A. Y.</w:t>
      </w:r>
      <w:r>
        <w:t xml:space="preserve"> </w:t>
      </w:r>
      <w:r>
        <w:t xml:space="preserve">A comparative study of Sandia flame series (D-F) using sparse-Lagrangian MMC modelling</w:t>
      </w:r>
      <w:r>
        <w:t xml:space="preserve">.</w:t>
      </w:r>
      <w:r>
        <w:t xml:space="preserve"> </w:t>
      </w:r>
      <w:r>
        <w:rPr>
          <w:i/>
        </w:rPr>
        <w:t xml:space="preserve">Proceedings of the Combustion Institute</w:t>
      </w:r>
      <w:r>
        <w:t xml:space="preserve"> </w:t>
      </w:r>
      <w:r>
        <w:rPr>
          <w:b/>
        </w:rPr>
        <w:t xml:space="preserve">34</w:t>
      </w:r>
      <w:r>
        <w:t xml:space="preserve">, 1325–1332 (2013).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c3b119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Dynamically Evaluated Mixing Time-Scales for MMC-LES</dc:title>
  <dc:creator>Eshan; sdeiitk; m.cleary</dc:creator>
  <dcterms:created xsi:type="dcterms:W3CDTF">2020-10-19T10:38:22Z</dcterms:created>
  <dcterms:modified xsi:type="dcterms:W3CDTF">2020-10-19T10:38:22Z</dcterms:modified>
</cp:coreProperties>
</file>