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8.png" ContentType="image/png"/>
  <Override PartName="/word/media/rId27.png" ContentType="image/png"/>
  <Override PartName="/word/media/rId29.png" ContentType="image/png"/>
  <Override PartName="/word/media/rId26.png" ContentType="image/png"/>
  <Override PartName="/word/media/rId25.png" ContentType="image/png"/>
  <Override PartName="/word/media/rId22.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Extracting</w:t>
      </w:r>
      <w:r>
        <w:t xml:space="preserve"> </w:t>
      </w:r>
      <w:r>
        <w:t xml:space="preserve">organ-specific</w:t>
      </w:r>
      <w:r>
        <w:t xml:space="preserve"> </w:t>
      </w:r>
      <w:r>
        <w:t xml:space="preserve">radiobiological</w:t>
      </w:r>
      <w:r>
        <w:t xml:space="preserve"> </w:t>
      </w:r>
      <w:r>
        <w:t xml:space="preserve">model </w:t>
      </w:r>
      <w:r>
        <w:t xml:space="preserve"> </w:t>
      </w:r>
      <w:r>
        <w:t xml:space="preserve">parameters</w:t>
      </w:r>
      <w:r>
        <w:t xml:space="preserve"> </w:t>
      </w:r>
      <w:r>
        <w:t xml:space="preserve">from</w:t>
      </w:r>
      <w:r>
        <w:t xml:space="preserve"> </w:t>
      </w:r>
      <w:r>
        <w:t xml:space="preserve">clinical</w:t>
      </w:r>
      <w:r>
        <w:t xml:space="preserve"> </w:t>
      </w:r>
      <w:r>
        <w:t xml:space="preserve">data</w:t>
      </w:r>
      <w:r>
        <w:t xml:space="preserve"> </w:t>
      </w:r>
      <w:r>
        <w:t xml:space="preserve">for</w:t>
      </w:r>
      <w:r>
        <w:t xml:space="preserve"> </w:t>
      </w:r>
      <w:r>
        <w:t xml:space="preserve">radiation</w:t>
      </w:r>
      <w:r>
        <w:t xml:space="preserve"> </w:t>
      </w:r>
      <w:r>
        <w:t xml:space="preserve">therapy</w:t>
      </w:r>
      <w:r>
        <w:t xml:space="preserve"> </w:t>
      </w:r>
      <w:r>
        <w:t xml:space="preserve">planning</w:t>
      </w:r>
      <w:r>
        <w:t xml:space="preserve"> </w:t>
      </w:r>
      <w:r>
        <w:t xml:space="preserve">of</w:t>
      </w:r>
      <w:r>
        <w:t xml:space="preserve"> </w:t>
      </w:r>
      <w:r>
        <w:t xml:space="preserve">head</w:t>
      </w:r>
      <w:r>
        <w:t xml:space="preserve"> </w:t>
      </w:r>
      <w:r>
        <w:t xml:space="preserve">and</w:t>
      </w:r>
      <w:r>
        <w:t xml:space="preserve"> </w:t>
      </w:r>
      <w:r>
        <w:t xml:space="preserve">neck cancers</w:t>
      </w:r>
    </w:p>
    <w:p>
      <w:pPr>
        <w:pStyle w:val="Author"/>
      </w:pPr>
      <w:r>
        <w:t xml:space="preserve">Edwin</w:t>
      </w:r>
      <w:r>
        <w:t xml:space="preserve"> </w:t>
      </w:r>
      <w:r>
        <w:t xml:space="preserve">E.</w:t>
      </w:r>
      <w:r>
        <w:t xml:space="preserve"> </w:t>
      </w:r>
      <w:r>
        <w:t xml:space="preserve">Quashie</w:t>
      </w:r>
    </w:p>
    <w:p>
      <w:pPr>
        <w:pStyle w:val="Abstract"/>
      </w:pPr>
      <w:r>
        <w:rPr>
          <w:b/>
        </w:rPr>
        <w:t xml:space="preserve">Purpose:</w:t>
      </w:r>
      <w:r>
        <w:rPr>
          <w:b/>
        </w:rPr>
        <w:t xml:space="preserve"> </w:t>
      </w:r>
      <w:r>
        <w:rPr>
          <w:b/>
        </w:rPr>
        <w:t xml:space="preserve"> </w:t>
      </w:r>
      <w:r>
        <w:t xml:space="preserve">Different</w:t>
      </w:r>
      <w:r>
        <w:t xml:space="preserve"> </w:t>
      </w:r>
      <w:r>
        <w:t xml:space="preserve">radiation</w:t>
      </w:r>
      <w:r>
        <w:t xml:space="preserve"> </w:t>
      </w:r>
      <w:r>
        <w:t xml:space="preserve">therapy</w:t>
      </w:r>
      <w:r>
        <w:t xml:space="preserve"> </w:t>
      </w:r>
      <w:r>
        <w:t xml:space="preserve">(RT)</w:t>
      </w:r>
      <w:r>
        <w:t xml:space="preserve"> </w:t>
      </w:r>
      <w:r>
        <w:t xml:space="preserve">strategies,</w:t>
      </w:r>
      <w:r>
        <w:t xml:space="preserve"> </w:t>
      </w:r>
      <w:r>
        <w:t xml:space="preserve">e.g.,</w:t>
      </w:r>
      <w:r>
        <w:t xml:space="preserve"> </w:t>
      </w:r>
      <w:r>
        <w:t xml:space="preserve">conventional</w:t>
      </w:r>
      <w:r>
        <w:t xml:space="preserve"> </w:t>
      </w:r>
      <w:r>
        <w:t xml:space="preserve">fractionation,</w:t>
      </w:r>
      <w:r>
        <w:t xml:space="preserve"> </w:t>
      </w:r>
      <w:r>
        <w:t xml:space="preserve">hypofractionation,</w:t>
      </w:r>
      <w:r>
        <w:t xml:space="preserve"> </w:t>
      </w:r>
      <w:r>
        <w:t xml:space="preserve">stereotactic</w:t>
      </w:r>
      <w:r>
        <w:t xml:space="preserve"> </w:t>
      </w:r>
      <w:r>
        <w:t xml:space="preserve">body</w:t>
      </w:r>
      <w:r>
        <w:t xml:space="preserve"> </w:t>
      </w:r>
      <w:r>
        <w:t xml:space="preserve">radiotherapy</w:t>
      </w:r>
      <w:r>
        <w:t xml:space="preserve"> </w:t>
      </w:r>
      <w:r>
        <w:t xml:space="preserve">(SBRT),</w:t>
      </w:r>
      <w:r>
        <w:t xml:space="preserve"> </w:t>
      </w:r>
      <w:r>
        <w:t xml:space="preserve">adaptive</w:t>
      </w:r>
      <w:r>
        <w:t xml:space="preserve"> </w:t>
      </w:r>
      <w:r>
        <w:t xml:space="preserve">RT,</w:t>
      </w:r>
      <w:r>
        <w:t xml:space="preserve"> </w:t>
      </w:r>
      <w:r>
        <w:t xml:space="preserve">and</w:t>
      </w:r>
      <w:r>
        <w:t xml:space="preserve"> </w:t>
      </w:r>
      <w:r>
        <w:t xml:space="preserve">re-irradiation</w:t>
      </w:r>
      <w:r>
        <w:t xml:space="preserve"> </w:t>
      </w:r>
      <w:r>
        <w:t xml:space="preserve">are</w:t>
      </w:r>
      <w:r>
        <w:t xml:space="preserve"> </w:t>
      </w:r>
      <w:r>
        <w:t xml:space="preserve">often</w:t>
      </w:r>
      <w:r>
        <w:t xml:space="preserve"> </w:t>
      </w:r>
      <w:r>
        <w:t xml:space="preserve">used</w:t>
      </w:r>
      <w:r>
        <w:t xml:space="preserve"> </w:t>
      </w:r>
      <w:r>
        <w:t xml:space="preserve">to</w:t>
      </w:r>
      <w:r>
        <w:t xml:space="preserve"> </w:t>
      </w:r>
      <w:r>
        <w:t xml:space="preserve">treat</w:t>
      </w:r>
      <w:r>
        <w:t xml:space="preserve"> </w:t>
      </w:r>
      <w:r>
        <w:t xml:space="preserve">head</w:t>
      </w:r>
      <w:r>
        <w:t xml:space="preserve"> </w:t>
      </w:r>
      <w:r>
        <w:t xml:space="preserve">and</w:t>
      </w:r>
      <w:r>
        <w:t xml:space="preserve"> </w:t>
      </w:r>
      <w:r>
        <w:t xml:space="preserve">neck</w:t>
      </w:r>
      <w:r>
        <w:t xml:space="preserve"> </w:t>
      </w:r>
      <w:r>
        <w:t xml:space="preserve">cancers.</w:t>
      </w:r>
      <w:r>
        <w:t xml:space="preserve"> </w:t>
      </w:r>
      <w:r>
        <w:t xml:space="preserve">Combining</w:t>
      </w:r>
      <w:r>
        <w:t xml:space="preserve"> </w:t>
      </w:r>
      <w:r>
        <w:t xml:space="preserve">and/or</w:t>
      </w:r>
      <w:r>
        <w:t xml:space="preserve"> </w:t>
      </w:r>
      <w:r>
        <w:t xml:space="preserve">comparing</w:t>
      </w:r>
      <w:r>
        <w:t xml:space="preserve"> </w:t>
      </w:r>
      <w:r>
        <w:t xml:space="preserve">these</w:t>
      </w:r>
      <w:r>
        <w:t xml:space="preserve"> </w:t>
      </w:r>
      <w:r>
        <w:t xml:space="preserve">strategies</w:t>
      </w:r>
      <w:r>
        <w:t xml:space="preserve"> </w:t>
      </w:r>
      <w:r>
        <w:t xml:space="preserve">require</w:t>
      </w:r>
      <w:r>
        <w:t xml:space="preserve"> </w:t>
      </w:r>
      <w:r>
        <w:t xml:space="preserve">to</w:t>
      </w:r>
      <w:r>
        <w:t xml:space="preserve"> </w:t>
      </w:r>
      <w:r>
        <w:t xml:space="preserve">calculate</w:t>
      </w:r>
      <w:r>
        <w:t xml:space="preserve"> </w:t>
      </w:r>
      <w:r>
        <w:t xml:space="preserve">biological</w:t>
      </w:r>
      <w:r>
        <w:t xml:space="preserve"> </w:t>
      </w:r>
      <w:r>
        <w:t xml:space="preserve">effective</w:t>
      </w:r>
      <w:r>
        <w:t xml:space="preserve"> </w:t>
      </w:r>
      <w:r>
        <w:t xml:space="preserve">dose</w:t>
      </w:r>
      <w:r>
        <w:t xml:space="preserve"> </w:t>
      </w:r>
      <w:r>
        <w:t xml:space="preserve">(BED).</w:t>
      </w:r>
      <w:r>
        <w:t xml:space="preserve"> </w:t>
      </w:r>
      <w:r>
        <w:t xml:space="preserve">The</w:t>
      </w:r>
      <w:r>
        <w:t xml:space="preserve"> </w:t>
      </w:r>
      <w:r>
        <w:t xml:space="preserve">purpose</w:t>
      </w:r>
      <w:r>
        <w:t xml:space="preserve"> </w:t>
      </w:r>
      <w:r>
        <w:t xml:space="preserve">of</w:t>
      </w:r>
      <w:r>
        <w:t xml:space="preserve"> </w:t>
      </w:r>
      <w:r>
        <w:t xml:space="preserve">this</w:t>
      </w:r>
      <w:r>
        <w:t xml:space="preserve"> </w:t>
      </w:r>
      <w:r>
        <w:t xml:space="preserve">study</w:t>
      </w:r>
      <w:r>
        <w:t xml:space="preserve"> </w:t>
      </w:r>
      <w:r>
        <w:t xml:space="preserve">is</w:t>
      </w:r>
      <w:r>
        <w:t xml:space="preserve"> </w:t>
      </w:r>
      <w:r>
        <w:t xml:space="preserve">to</w:t>
      </w:r>
      <w:r>
        <w:t xml:space="preserve"> </w:t>
      </w:r>
      <w:r>
        <w:t xml:space="preserve">develop</w:t>
      </w:r>
      <w:r>
        <w:t xml:space="preserve"> </w:t>
      </w:r>
      <w:r>
        <w:t xml:space="preserve">a</w:t>
      </w:r>
      <w:r>
        <w:t xml:space="preserve"> </w:t>
      </w:r>
      <w:r>
        <w:t xml:space="preserve">practical</w:t>
      </w:r>
      <w:r>
        <w:t xml:space="preserve"> </w:t>
      </w:r>
      <w:r>
        <w:t xml:space="preserve">process</w:t>
      </w:r>
      <w:r>
        <w:t xml:space="preserve"> </w:t>
      </w:r>
      <w:r>
        <w:t xml:space="preserve">to</w:t>
      </w:r>
      <w:r>
        <w:t xml:space="preserve"> </w:t>
      </w:r>
      <w:r>
        <w:t xml:space="preserve">extract</w:t>
      </w:r>
      <w:r>
        <w:t xml:space="preserve"> </w:t>
      </w:r>
      <w:r>
        <w:t xml:space="preserve">organ-specific</w:t>
      </w:r>
      <w:r>
        <w:t xml:space="preserve"> </w:t>
      </w:r>
      <w:r>
        <w:t xml:space="preserve">radiobiologic</w:t>
      </w:r>
      <w:r>
        <w:t xml:space="preserve"> </w:t>
      </w:r>
      <w:r>
        <w:t xml:space="preserve">model</w:t>
      </w:r>
      <w:r>
        <w:t xml:space="preserve"> </w:t>
      </w:r>
      <w:r>
        <w:t xml:space="preserve">parameters</w:t>
      </w:r>
      <w:r>
        <w:t xml:space="preserve"> </w:t>
      </w:r>
      <w:r>
        <w:t xml:space="preserve">that</w:t>
      </w:r>
      <w:r>
        <w:t xml:space="preserve"> </w:t>
      </w:r>
      <w:r>
        <w:t xml:space="preserve">may</w:t>
      </w:r>
      <w:r>
        <w:t xml:space="preserve"> </w:t>
      </w:r>
      <w:r>
        <w:t xml:space="preserve">be</w:t>
      </w:r>
      <w:r>
        <w:t xml:space="preserve"> </w:t>
      </w:r>
      <w:r>
        <w:t xml:space="preserve">used</w:t>
      </w:r>
      <w:r>
        <w:t xml:space="preserve"> </w:t>
      </w:r>
      <w:r>
        <w:t xml:space="preserve">for</w:t>
      </w:r>
      <w:r>
        <w:t xml:space="preserve"> </w:t>
      </w:r>
      <w:r>
        <w:t xml:space="preserve">BED</w:t>
      </w:r>
      <w:r>
        <w:t xml:space="preserve"> </w:t>
      </w:r>
      <w:r>
        <w:t xml:space="preserve">calculations</w:t>
      </w:r>
      <w:r>
        <w:t xml:space="preserve"> </w:t>
      </w:r>
      <w:r>
        <w:t xml:space="preserve">in</w:t>
      </w:r>
      <w:r>
        <w:t xml:space="preserve"> </w:t>
      </w:r>
      <w:r>
        <w:t xml:space="preserve">individualized</w:t>
      </w:r>
      <w:r>
        <w:t xml:space="preserve"> </w:t>
      </w:r>
      <w:r>
        <w:t xml:space="preserve">RT</w:t>
      </w:r>
      <w:r>
        <w:t xml:space="preserve"> </w:t>
      </w:r>
      <w:r>
        <w:t xml:space="preserve">planning</w:t>
      </w:r>
      <w:r>
        <w:t xml:space="preserve"> </w:t>
      </w:r>
      <w:r>
        <w:t xml:space="preserve">for</w:t>
      </w:r>
      <w:r>
        <w:t xml:space="preserve"> </w:t>
      </w:r>
      <w:r>
        <w:t xml:space="preserve">head</w:t>
      </w:r>
      <w:r>
        <w:t xml:space="preserve"> </w:t>
      </w:r>
      <w:r>
        <w:t xml:space="preserve">and</w:t>
      </w:r>
      <w:r>
        <w:t xml:space="preserve"> </w:t>
      </w:r>
      <w:r>
        <w:t xml:space="preserve">neck</w:t>
      </w:r>
      <w:r>
        <w:t xml:space="preserve"> </w:t>
      </w:r>
      <w:r>
        <w:t xml:space="preserve">cancer. </w:t>
      </w:r>
    </w:p>
    <w:p>
      <w:pPr>
        <w:pStyle w:val="Abstract"/>
      </w:pPr>
      <w:r>
        <w:rPr>
          <w:b/>
        </w:rPr>
        <w:t xml:space="preserve">Methods:</w:t>
      </w:r>
      <w:r>
        <w:t xml:space="preserve"> </w:t>
      </w:r>
      <w:r>
        <w:t xml:space="preserve"> The</w:t>
      </w:r>
      <w:r>
        <w:t xml:space="preserve"> </w:t>
      </w:r>
      <w:r>
        <w:t xml:space="preserve">dose</w:t>
      </w:r>
      <w:r>
        <w:t xml:space="preserve"> </w:t>
      </w:r>
      <w:r>
        <w:t xml:space="preserve">volume</w:t>
      </w:r>
      <w:r>
        <w:t xml:space="preserve"> </w:t>
      </w:r>
      <w:r>
        <w:t xml:space="preserve">constraint</w:t>
      </w:r>
      <w:r>
        <w:t xml:space="preserve"> </w:t>
      </w:r>
      <w:r>
        <w:t xml:space="preserve">data</w:t>
      </w:r>
      <w:r>
        <w:t xml:space="preserve"> </w:t>
      </w:r>
      <w:r>
        <w:t xml:space="preserve">for</w:t>
      </w:r>
      <w:r>
        <w:t xml:space="preserve"> </w:t>
      </w:r>
      <w:r>
        <w:t xml:space="preserve">12</w:t>
      </w:r>
      <w:r>
        <w:t xml:space="preserve"> </w:t>
      </w:r>
      <w:r>
        <w:t xml:space="preserve">organs</w:t>
      </w:r>
      <w:r>
        <w:t xml:space="preserve"> </w:t>
      </w:r>
      <w:r>
        <w:t xml:space="preserve">at</w:t>
      </w:r>
      <w:r>
        <w:t xml:space="preserve"> </w:t>
      </w:r>
      <w:r>
        <w:t xml:space="preserve">risk</w:t>
      </w:r>
      <w:r>
        <w:t xml:space="preserve"> </w:t>
      </w:r>
      <w:r>
        <w:t xml:space="preserve">(OAR)</w:t>
      </w:r>
      <w:r>
        <w:t xml:space="preserve"> </w:t>
      </w:r>
      <w:r>
        <w:t xml:space="preserve">corresponding</w:t>
      </w:r>
      <w:r>
        <w:t xml:space="preserve"> </w:t>
      </w:r>
      <w:r>
        <w:t xml:space="preserve">to</w:t>
      </w:r>
      <w:r>
        <w:t xml:space="preserve"> </w:t>
      </w:r>
      <w:r>
        <w:t xml:space="preserve">no</w:t>
      </w:r>
      <w:r>
        <w:t xml:space="preserve"> </w:t>
      </w:r>
      <w:r>
        <w:t xml:space="preserve">grade</w:t>
      </w:r>
      <w:r>
        <w:t xml:space="preserve"> </w:t>
      </w:r>
      <m:oMath>
        <m:r>
          <m:t>≥</m:t>
        </m:r>
      </m:oMath>
      <w:r>
        <w:t xml:space="preserve">3</w:t>
      </w:r>
      <w:r>
        <w:t xml:space="preserve"> </w:t>
      </w:r>
      <w:r>
        <w:t xml:space="preserve">toxicity</w:t>
      </w:r>
      <w:r>
        <w:t xml:space="preserve"> </w:t>
      </w:r>
      <w:r>
        <w:t xml:space="preserve">for</w:t>
      </w:r>
      <w:r>
        <w:t xml:space="preserve"> </w:t>
      </w:r>
      <w:r>
        <w:t xml:space="preserve">SBRT,</w:t>
      </w:r>
      <w:r>
        <w:t xml:space="preserve"> </w:t>
      </w:r>
      <w:r>
        <w:t xml:space="preserve">hypofractionated</w:t>
      </w:r>
      <w:r>
        <w:t xml:space="preserve"> </w:t>
      </w:r>
      <w:r>
        <w:t xml:space="preserve">and</w:t>
      </w:r>
      <w:r>
        <w:t xml:space="preserve"> </w:t>
      </w:r>
      <w:r>
        <w:t xml:space="preserve">convectional</w:t>
      </w:r>
      <w:r>
        <w:t xml:space="preserve"> </w:t>
      </w:r>
      <w:r>
        <w:t xml:space="preserve">fractionation</w:t>
      </w:r>
      <w:r>
        <w:t xml:space="preserve"> </w:t>
      </w:r>
      <w:r>
        <w:t xml:space="preserve">treatments</w:t>
      </w:r>
      <w:r>
        <w:t xml:space="preserve"> </w:t>
      </w:r>
      <w:r>
        <w:t xml:space="preserve">were</w:t>
      </w:r>
      <w:r>
        <w:t xml:space="preserve"> </w:t>
      </w:r>
      <w:r>
        <w:t xml:space="preserve">compiled</w:t>
      </w:r>
      <w:r>
        <w:t xml:space="preserve"> </w:t>
      </w:r>
      <w:r>
        <w:t xml:space="preserve">from</w:t>
      </w:r>
      <w:r>
        <w:t xml:space="preserve"> </w:t>
      </w:r>
      <w:r>
        <w:t xml:space="preserve">various</w:t>
      </w:r>
      <w:r>
        <w:t xml:space="preserve"> </w:t>
      </w:r>
      <w:r>
        <w:t xml:space="preserve">sources</w:t>
      </w:r>
      <w:r>
        <w:t xml:space="preserve"> </w:t>
      </w:r>
      <w:r>
        <w:t xml:space="preserve">such</w:t>
      </w:r>
      <w:r>
        <w:t xml:space="preserve"> </w:t>
      </w:r>
      <w:r>
        <w:t xml:space="preserve">as</w:t>
      </w:r>
      <w:r>
        <w:t xml:space="preserve"> </w:t>
      </w:r>
      <w:r>
        <w:t xml:space="preserve">TG101,</w:t>
      </w:r>
      <w:r>
        <w:t xml:space="preserve"> </w:t>
      </w:r>
      <w:r>
        <w:t xml:space="preserve">QUANTEC</w:t>
      </w:r>
      <w:r>
        <w:t xml:space="preserve"> </w:t>
      </w:r>
      <w:r>
        <w:t xml:space="preserve">and</w:t>
      </w:r>
      <w:r>
        <w:t xml:space="preserve"> </w:t>
      </w:r>
      <w:r>
        <w:t xml:space="preserve">clinical</w:t>
      </w:r>
      <w:r>
        <w:t xml:space="preserve"> </w:t>
      </w:r>
      <w:r>
        <w:t xml:space="preserve">trial</w:t>
      </w:r>
      <w:r>
        <w:t xml:space="preserve"> </w:t>
      </w:r>
      <w:r>
        <w:t xml:space="preserve">database.</w:t>
      </w:r>
      <w:r>
        <w:t xml:space="preserve"> </w:t>
      </w:r>
      <w:r>
        <w:t xml:space="preserve">These</w:t>
      </w:r>
      <w:r>
        <w:t xml:space="preserve"> </w:t>
      </w:r>
      <w:r>
        <w:t xml:space="preserve">data</w:t>
      </w:r>
      <w:r>
        <w:t xml:space="preserve"> </w:t>
      </w:r>
      <w:r>
        <w:t xml:space="preserve">cover</w:t>
      </w:r>
      <w:r>
        <w:t xml:space="preserve"> </w:t>
      </w:r>
      <w:r>
        <w:t xml:space="preserve">10</w:t>
      </w:r>
      <w:r>
        <w:t xml:space="preserve"> </w:t>
      </w:r>
      <w:r>
        <w:t xml:space="preserve">fractionation</w:t>
      </w:r>
      <w:r>
        <w:t xml:space="preserve"> </w:t>
      </w:r>
      <w:r>
        <w:t xml:space="preserve">schemes.</w:t>
      </w:r>
      <w:r>
        <w:t xml:space="preserve"> </w:t>
      </w:r>
      <w:r>
        <w:t xml:space="preserve">A</w:t>
      </w:r>
      <w:r>
        <w:t xml:space="preserve"> </w:t>
      </w:r>
      <w:r>
        <w:t xml:space="preserve">linear-quadratic-linear</w:t>
      </w:r>
      <w:r>
        <w:t xml:space="preserve"> </w:t>
      </w:r>
      <w:r>
        <w:t xml:space="preserve">(LQ-L)</w:t>
      </w:r>
      <w:r>
        <w:t xml:space="preserve"> </w:t>
      </w:r>
      <w:r>
        <w:t xml:space="preserve">model</w:t>
      </w:r>
      <w:r>
        <w:t xml:space="preserve"> </w:t>
      </w:r>
      <w:r>
        <w:t xml:space="preserve">was</w:t>
      </w:r>
      <w:r>
        <w:t xml:space="preserve"> </w:t>
      </w:r>
      <w:r>
        <w:t xml:space="preserve">used</w:t>
      </w:r>
      <w:r>
        <w:t xml:space="preserve"> </w:t>
      </w:r>
      <w:r>
        <w:t xml:space="preserve">to</w:t>
      </w:r>
      <w:r>
        <w:t xml:space="preserve"> </w:t>
      </w:r>
      <w:r>
        <w:t xml:space="preserve">extract</w:t>
      </w:r>
      <w:r>
        <w:t xml:space="preserve"> </w:t>
      </w:r>
      <w:r>
        <w:t xml:space="preserve">model</w:t>
      </w:r>
      <w:r>
        <w:t xml:space="preserve"> </w:t>
      </w:r>
      <w:r>
        <w:t xml:space="preserve">parameters</w:t>
      </w:r>
      <w:r>
        <w:t xml:space="preserve"> </w:t>
      </w:r>
      <w:r>
        <w:t xml:space="preserve">(e.g., </w:t>
      </w:r>
      <m:oMath>
        <m:r>
          <m:t>α</m:t>
        </m:r>
        <m:r>
          <m:t>/</m:t>
        </m:r>
        <m:r>
          <m:t>β</m:t>
        </m:r>
      </m:oMath>
      <w:r>
        <w:t xml:space="preserve">,</w:t>
      </w:r>
      <w:r>
        <w:t xml:space="preserve"> </w:t>
      </w:r>
      <w:r>
        <w:t xml:space="preserve"> </w:t>
      </w:r>
      <m:oMath>
        <m:r>
          <m:t>γ</m:t>
        </m:r>
        <m:r>
          <m:t>/</m:t>
        </m:r>
        <m:r>
          <m:t>α</m:t>
        </m:r>
      </m:oMath>
      <w:r>
        <w:t xml:space="preserve"> </w:t>
      </w:r>
      <w:r>
        <w:t xml:space="preserve">and </w:t>
      </w:r>
      <m:oMath>
        <m:sSub>
          <m:e>
            <m:r>
              <m:t>d</m:t>
            </m:r>
          </m:e>
          <m:sub>
            <m:r>
              <m:t>t</m:t>
            </m:r>
          </m:sub>
        </m:sSub>
      </m:oMath>
      <w:r>
        <w:t xml:space="preserve">)</w:t>
      </w:r>
      <w:r>
        <w:t xml:space="preserve"> </w:t>
      </w:r>
      <w:r>
        <w:t xml:space="preserve">from</w:t>
      </w:r>
      <w:r>
        <w:t xml:space="preserve"> </w:t>
      </w:r>
      <w:r>
        <w:t xml:space="preserve">fitting</w:t>
      </w:r>
      <w:r>
        <w:t xml:space="preserve"> </w:t>
      </w:r>
      <w:r>
        <w:t xml:space="preserve">the</w:t>
      </w:r>
      <w:r>
        <w:t xml:space="preserve"> </w:t>
      </w:r>
      <w:r>
        <w:t xml:space="preserve">Iso-BED</w:t>
      </w:r>
      <w:r>
        <w:t xml:space="preserve"> </w:t>
      </w:r>
      <w:r>
        <w:t xml:space="preserve">curves</w:t>
      </w:r>
      <w:r>
        <w:t xml:space="preserve"> </w:t>
      </w:r>
      <w:r>
        <w:t xml:space="preserve">of</w:t>
      </w:r>
      <w:r>
        <w:t xml:space="preserve"> </w:t>
      </w:r>
      <w:r>
        <w:t xml:space="preserve">those</w:t>
      </w:r>
      <w:r>
        <w:t xml:space="preserve"> </w:t>
      </w:r>
      <w:r>
        <w:t xml:space="preserve">dose</w:t>
      </w:r>
      <w:r>
        <w:t xml:space="preserve"> </w:t>
      </w:r>
      <w:r>
        <w:t xml:space="preserve">volume</w:t>
      </w:r>
      <w:r>
        <w:t xml:space="preserve"> </w:t>
      </w:r>
      <w:r>
        <w:t xml:space="preserve">constraints</w:t>
      </w:r>
      <w:r>
        <w:t xml:space="preserve"> </w:t>
      </w:r>
      <w:r>
        <w:t xml:space="preserve">for</w:t>
      </w:r>
      <w:r>
        <w:t xml:space="preserve"> </w:t>
      </w:r>
      <w:r>
        <w:t xml:space="preserve">the</w:t>
      </w:r>
      <w:r>
        <w:t xml:space="preserve"> </w:t>
      </w:r>
      <w:r>
        <w:t xml:space="preserve">OARs</w:t>
      </w:r>
      <w:r>
        <w:t xml:space="preserve"> </w:t>
      </w:r>
      <w:r>
        <w:t xml:space="preserve">using</w:t>
      </w:r>
      <w:r>
        <w:t xml:space="preserve"> </w:t>
      </w:r>
      <w:r>
        <w:t xml:space="preserve">an</w:t>
      </w:r>
      <w:r>
        <w:t xml:space="preserve"> </w:t>
      </w:r>
      <w:r>
        <w:t xml:space="preserve">in-house</w:t>
      </w:r>
      <w:r>
        <w:t xml:space="preserve"> </w:t>
      </w:r>
      <w:r>
        <w:t xml:space="preserve">python</w:t>
      </w:r>
      <w:r>
        <w:t xml:space="preserve"> </w:t>
      </w:r>
      <w:r>
        <w:t xml:space="preserve">code.</w:t>
      </w:r>
      <w:r>
        <w:t xml:space="preserve"> </w:t>
      </w:r>
      <w:r>
        <w:t xml:space="preserve">The</w:t>
      </w:r>
      <w:r>
        <w:t xml:space="preserve"> </w:t>
      </w:r>
      <w:r>
        <w:t xml:space="preserve">obtained</w:t>
      </w:r>
      <w:r>
        <w:t xml:space="preserve"> </w:t>
      </w:r>
      <w:r>
        <w:t xml:space="preserve">model</w:t>
      </w:r>
      <w:r>
        <w:t xml:space="preserve"> </w:t>
      </w:r>
      <w:r>
        <w:t xml:space="preserve">parameters</w:t>
      </w:r>
      <w:r>
        <w:t xml:space="preserve"> </w:t>
      </w:r>
      <w:r>
        <w:t xml:space="preserve">were</w:t>
      </w:r>
      <w:r>
        <w:t xml:space="preserve"> </w:t>
      </w:r>
      <w:r>
        <w:t xml:space="preserve">integrated</w:t>
      </w:r>
      <w:r>
        <w:t xml:space="preserve"> </w:t>
      </w:r>
      <w:r>
        <w:t xml:space="preserve">into</w:t>
      </w:r>
      <w:r>
        <w:t xml:space="preserve"> </w:t>
      </w:r>
      <w:r>
        <w:t xml:space="preserve">a</w:t>
      </w:r>
      <w:r>
        <w:t xml:space="preserve"> </w:t>
      </w:r>
      <w:r>
        <w:t xml:space="preserve">practical</w:t>
      </w:r>
      <w:r>
        <w:t xml:space="preserve"> </w:t>
      </w:r>
      <w:r>
        <w:t xml:space="preserve">workflow</w:t>
      </w:r>
      <w:r>
        <w:t xml:space="preserve"> </w:t>
      </w:r>
      <w:r>
        <w:t xml:space="preserve">in</w:t>
      </w:r>
      <w:r>
        <w:t xml:space="preserve"> </w:t>
      </w:r>
      <w:r>
        <w:t xml:space="preserve">MIM</w:t>
      </w:r>
      <w:r>
        <w:t xml:space="preserve"> </w:t>
      </w:r>
      <w:r>
        <w:t xml:space="preserve">software.</w:t>
      </w:r>
      <w:r>
        <w:t xml:space="preserve"> </w:t>
      </w:r>
      <w:r>
        <w:t xml:space="preserve">Their</w:t>
      </w:r>
      <w:r>
        <w:t xml:space="preserve"> </w:t>
      </w:r>
      <w:r>
        <w:t xml:space="preserve">practicality</w:t>
      </w:r>
      <w:r>
        <w:t xml:space="preserve"> </w:t>
      </w:r>
      <w:r>
        <w:t xml:space="preserve">was</w:t>
      </w:r>
      <w:r>
        <w:t xml:space="preserve"> </w:t>
      </w:r>
      <w:r>
        <w:t xml:space="preserve">tested</w:t>
      </w:r>
      <w:r>
        <w:t xml:space="preserve"> </w:t>
      </w:r>
      <w:r>
        <w:t xml:space="preserve">for</w:t>
      </w:r>
      <w:r>
        <w:t xml:space="preserve"> </w:t>
      </w:r>
      <w:r>
        <w:t xml:space="preserve">treatment</w:t>
      </w:r>
      <w:r>
        <w:t xml:space="preserve"> </w:t>
      </w:r>
      <w:r>
        <w:t xml:space="preserve">planning</w:t>
      </w:r>
      <w:r>
        <w:t xml:space="preserve"> </w:t>
      </w:r>
      <w:r>
        <w:t xml:space="preserve">of</w:t>
      </w:r>
      <w:r>
        <w:t xml:space="preserve"> </w:t>
      </w:r>
      <w:r>
        <w:t xml:space="preserve">re-irradiation. </w:t>
      </w:r>
    </w:p>
    <w:p>
      <w:pPr>
        <w:pStyle w:val="Abstract"/>
      </w:pPr>
      <w:r>
        <w:rPr>
          <w:b/>
        </w:rPr>
        <w:t xml:space="preserve">Results:</w:t>
      </w:r>
      <w:r>
        <w:t xml:space="preserve"> </w:t>
      </w:r>
      <w:r>
        <w:t xml:space="preserve">  The</w:t>
      </w:r>
      <w:r>
        <w:t xml:space="preserve"> </w:t>
      </w:r>
      <w:r>
        <w:t xml:space="preserve">LQ-L</w:t>
      </w:r>
      <w:r>
        <w:t xml:space="preserve"> </w:t>
      </w:r>
      <w:r>
        <w:t xml:space="preserve">model</w:t>
      </w:r>
      <w:r>
        <w:t xml:space="preserve"> </w:t>
      </w:r>
      <w:r>
        <w:t xml:space="preserve">fitted</w:t>
      </w:r>
      <w:r>
        <w:t xml:space="preserve"> </w:t>
      </w:r>
      <w:r>
        <w:t xml:space="preserve">the</w:t>
      </w:r>
      <w:r>
        <w:t xml:space="preserve"> </w:t>
      </w:r>
      <w:r>
        <w:t xml:space="preserve">data</w:t>
      </w:r>
      <w:r>
        <w:t xml:space="preserve"> </w:t>
      </w:r>
      <w:r>
        <w:t xml:space="preserve">well</w:t>
      </w:r>
      <w:r>
        <w:t xml:space="preserve"> </w:t>
      </w:r>
      <w:r>
        <w:t xml:space="preserve">as</w:t>
      </w:r>
      <w:r>
        <w:t xml:space="preserve"> </w:t>
      </w:r>
      <w:r>
        <w:t xml:space="preserve">indicated</w:t>
      </w:r>
      <w:r>
        <w:t xml:space="preserve"> </w:t>
      </w:r>
      <w:r>
        <w:t xml:space="preserve">by</w:t>
      </w:r>
      <w:r>
        <w:t xml:space="preserve"> </w:t>
      </w:r>
      <w:r>
        <w:t xml:space="preserve">smooth</w:t>
      </w:r>
      <w:r>
        <w:t xml:space="preserve"> </w:t>
      </w:r>
      <w:r>
        <w:t xml:space="preserve">transition</w:t>
      </w:r>
      <w:r>
        <w:t xml:space="preserve"> </w:t>
      </w:r>
      <w:r>
        <w:t xml:space="preserve">curves</w:t>
      </w:r>
      <w:r>
        <w:t xml:space="preserve"> </w:t>
      </w:r>
      <w:r>
        <w:t xml:space="preserve">from</w:t>
      </w:r>
      <w:r>
        <w:t xml:space="preserve"> </w:t>
      </w:r>
      <w:r>
        <w:t xml:space="preserve">SBRT</w:t>
      </w:r>
      <w:r>
        <w:t xml:space="preserve"> </w:t>
      </w:r>
      <w:r>
        <w:t xml:space="preserve">to</w:t>
      </w:r>
      <w:r>
        <w:t xml:space="preserve"> </w:t>
      </w:r>
      <w:r>
        <w:t xml:space="preserve">conventional</w:t>
      </w:r>
      <w:r>
        <w:t xml:space="preserve"> </w:t>
      </w:r>
      <w:r>
        <w:t xml:space="preserve">fractionation</w:t>
      </w:r>
      <w:r>
        <w:t xml:space="preserve"> </w:t>
      </w:r>
      <w:r>
        <w:t xml:space="preserve">data.</w:t>
      </w:r>
      <w:r>
        <w:t xml:space="preserve"> </w:t>
      </w:r>
      <w:r>
        <w:t xml:space="preserve">The</w:t>
      </w:r>
      <w:r>
        <w:t xml:space="preserve"> </w:t>
      </w:r>
      <w:r>
        <w:t xml:space="preserve">organ-specific</w:t>
      </w:r>
      <w:r>
        <w:t xml:space="preserve"> </w:t>
      </w:r>
      <w:r>
        <w:t xml:space="preserve">model</w:t>
      </w:r>
      <w:r>
        <w:t xml:space="preserve"> </w:t>
      </w:r>
      <w:r>
        <w:t xml:space="preserve">parameters</w:t>
      </w:r>
      <w:r>
        <w:t xml:space="preserve"> </w:t>
      </w:r>
      <w:r>
        <w:t xml:space="preserve">were</w:t>
      </w:r>
      <w:r>
        <w:t xml:space="preserve"> </w:t>
      </w:r>
      <w:r>
        <w:t xml:space="preserve">obtained,</w:t>
      </w:r>
      <w:r>
        <w:t xml:space="preserve"> </w:t>
      </w:r>
      <w:r>
        <w:t xml:space="preserve">for</w:t>
      </w:r>
      <w:r>
        <w:t xml:space="preserve"> </w:t>
      </w:r>
      <w:r>
        <w:t xml:space="preserve">example,</w:t>
      </w:r>
      <w:r>
        <w:t xml:space="preserve"> </w:t>
      </w:r>
      <m:oMath>
        <m:r>
          <m:t>α</m:t>
        </m:r>
        <m:r>
          <m:t>/</m:t>
        </m:r>
        <m:r>
          <m:t>β</m:t>
        </m:r>
      </m:oMath>
      <w:r>
        <w:t xml:space="preserve">=2.57Gy,</w:t>
      </w:r>
      <w:r>
        <w:t xml:space="preserve"> </w:t>
      </w:r>
      <w:r>
        <w:t xml:space="preserve"> </w:t>
      </w:r>
      <m:oMath>
        <m:r>
          <m:t>γ</m:t>
        </m:r>
        <m:r>
          <m:t>/</m:t>
        </m:r>
        <m:r>
          <m:t>α</m:t>
        </m:r>
      </m:oMath>
      <w:r>
        <w:t xml:space="preserve">=9.07Gy</w:t>
      </w:r>
      <w:r>
        <w:t xml:space="preserve"> </w:t>
      </w:r>
      <w:r>
        <w:t xml:space="preserve">and</w:t>
      </w:r>
      <w:r>
        <w:t xml:space="preserve"> </w:t>
      </w:r>
      <m:oMath>
        <m:sSub>
          <m:e>
            <m:r>
              <m:t>d</m:t>
            </m:r>
          </m:e>
          <m:sub>
            <m:r>
              <m:t>t</m:t>
            </m:r>
          </m:sub>
        </m:sSub>
      </m:oMath>
      <w:r>
        <w:t xml:space="preserve">=7.65Gy,</w:t>
      </w:r>
      <w:r>
        <w:t xml:space="preserve"> </w:t>
      </w:r>
      <w:r>
        <w:t xml:space="preserve">and</w:t>
      </w:r>
      <w:r>
        <w:t xml:space="preserve"> </w:t>
      </w:r>
      <m:oMath>
        <m:r>
          <m:t>α</m:t>
        </m:r>
        <m:r>
          <m:t>/</m:t>
        </m:r>
        <m:r>
          <m:t>β</m:t>
        </m:r>
      </m:oMath>
      <w:r>
        <w:t xml:space="preserve">=2.34Gy,</w:t>
      </w:r>
      <w:r>
        <w:t xml:space="preserve"> </w:t>
      </w:r>
      <w:r>
        <w:t xml:space="preserve"> </w:t>
      </w:r>
      <m:oMath>
        <m:r>
          <m:t>γ</m:t>
        </m:r>
        <m:r>
          <m:t>/</m:t>
        </m:r>
        <m:r>
          <m:t>α</m:t>
        </m:r>
      </m:oMath>
      <w:r>
        <w:t xml:space="preserve">=9.67Gy</w:t>
      </w:r>
      <w:r>
        <w:t xml:space="preserve"> </w:t>
      </w:r>
      <w:r>
        <w:t xml:space="preserve">and</w:t>
      </w:r>
      <w:r>
        <w:t xml:space="preserve"> </w:t>
      </w:r>
      <m:oMath>
        <m:sSub>
          <m:e>
            <m:r>
              <m:t>d</m:t>
            </m:r>
          </m:e>
          <m:sub>
            <m:r>
              <m:t>t</m:t>
            </m:r>
          </m:sub>
        </m:sSub>
      </m:oMath>
      <w:r>
        <w:t xml:space="preserve">=6.80Gy</w:t>
      </w:r>
      <w:r>
        <w:t xml:space="preserve"> </w:t>
      </w:r>
      <w:r>
        <w:t xml:space="preserve">for</w:t>
      </w:r>
      <w:r>
        <w:t xml:space="preserve"> </w:t>
      </w:r>
      <w:r>
        <w:t xml:space="preserve">spinal</w:t>
      </w:r>
      <w:r>
        <w:t xml:space="preserve"> </w:t>
      </w:r>
      <w:r>
        <w:t xml:space="preserve">cord</w:t>
      </w:r>
      <w:r>
        <w:t xml:space="preserve"> </w:t>
      </w:r>
      <w:r>
        <w:t xml:space="preserve">and</w:t>
      </w:r>
      <w:r>
        <w:t xml:space="preserve"> </w:t>
      </w:r>
      <w:r>
        <w:t xml:space="preserve">brainstem,</w:t>
      </w:r>
      <w:r>
        <w:t xml:space="preserve"> </w:t>
      </w:r>
      <w:r>
        <w:t xml:space="preserve">respectively.</w:t>
      </w:r>
      <w:r>
        <w:t xml:space="preserve"> </w:t>
      </w:r>
      <w:r>
        <w:t xml:space="preserve">The</w:t>
      </w:r>
      <w:r>
        <w:t xml:space="preserve"> </w:t>
      </w:r>
      <w:r>
        <w:t xml:space="preserve">composite</w:t>
      </w:r>
      <w:r>
        <w:t xml:space="preserve"> </w:t>
      </w:r>
      <w:r>
        <w:t xml:space="preserve">dose</w:t>
      </w:r>
      <w:r>
        <w:t xml:space="preserve"> </w:t>
      </w:r>
      <w:r>
        <w:t xml:space="preserve">plans</w:t>
      </w:r>
      <w:r>
        <w:t xml:space="preserve"> </w:t>
      </w:r>
      <w:r>
        <w:t xml:space="preserve">for</w:t>
      </w:r>
      <w:r>
        <w:t xml:space="preserve"> </w:t>
      </w:r>
      <w:r>
        <w:t xml:space="preserve">retreatment</w:t>
      </w:r>
      <w:r>
        <w:t xml:space="preserve"> </w:t>
      </w:r>
      <w:r>
        <w:t xml:space="preserve">of</w:t>
      </w:r>
      <w:r>
        <w:t xml:space="preserve"> </w:t>
      </w:r>
      <w:r>
        <w:t xml:space="preserve">head</w:t>
      </w:r>
      <w:r>
        <w:t xml:space="preserve"> </w:t>
      </w:r>
      <w:r>
        <w:t xml:space="preserve">and</w:t>
      </w:r>
      <w:r>
        <w:t xml:space="preserve"> </w:t>
      </w:r>
      <w:r>
        <w:t xml:space="preserve">neck</w:t>
      </w:r>
      <w:r>
        <w:t xml:space="preserve"> </w:t>
      </w:r>
      <w:r>
        <w:t xml:space="preserve">cancers</w:t>
      </w:r>
      <w:r>
        <w:t xml:space="preserve"> </w:t>
      </w:r>
      <w:r>
        <w:t xml:space="preserve">with</w:t>
      </w:r>
      <w:r>
        <w:t xml:space="preserve"> </w:t>
      </w:r>
      <w:r>
        <w:t xml:space="preserve">considering</w:t>
      </w:r>
      <w:r>
        <w:t xml:space="preserve"> </w:t>
      </w:r>
      <w:r>
        <w:t xml:space="preserve">the</w:t>
      </w:r>
      <w:r>
        <w:t xml:space="preserve"> </w:t>
      </w:r>
      <w:r>
        <w:t xml:space="preserve">obtained</w:t>
      </w:r>
      <w:r>
        <w:t xml:space="preserve"> </w:t>
      </w:r>
      <w:r>
        <w:t xml:space="preserve">model</w:t>
      </w:r>
      <w:r>
        <w:t xml:space="preserve"> </w:t>
      </w:r>
      <w:r>
        <w:t xml:space="preserve">parameters</w:t>
      </w:r>
      <w:r>
        <w:t xml:space="preserve"> </w:t>
      </w:r>
      <w:r>
        <w:t xml:space="preserve">show</w:t>
      </w:r>
      <w:r>
        <w:t xml:space="preserve"> </w:t>
      </w:r>
      <w:r>
        <w:t xml:space="preserve">up</w:t>
      </w:r>
      <w:r>
        <w:t xml:space="preserve"> </w:t>
      </w:r>
      <w:r>
        <w:t xml:space="preserve">to</w:t>
      </w:r>
      <w:r>
        <w:t xml:space="preserve"> </w:t>
      </w:r>
      <w:r>
        <w:t xml:space="preserve">10%</w:t>
      </w:r>
      <w:r>
        <w:t xml:space="preserve"> </w:t>
      </w:r>
      <w:r>
        <w:t xml:space="preserve">difference</w:t>
      </w:r>
      <w:r>
        <w:t xml:space="preserve"> </w:t>
      </w:r>
      <w:r>
        <w:t xml:space="preserve">in</w:t>
      </w:r>
      <w:r>
        <w:t xml:space="preserve"> </w:t>
      </w:r>
      <w:r>
        <w:t xml:space="preserve">physical</w:t>
      </w:r>
      <w:r>
        <w:t xml:space="preserve"> </w:t>
      </w:r>
      <w:r>
        <w:t xml:space="preserve">dose</w:t>
      </w:r>
      <w:r>
        <w:t xml:space="preserve"> </w:t>
      </w:r>
      <w:r>
        <w:t xml:space="preserve">constraints</w:t>
      </w:r>
      <w:r>
        <w:t xml:space="preserve"> </w:t>
      </w:r>
      <w:r>
        <w:t xml:space="preserve">from</w:t>
      </w:r>
      <w:r>
        <w:t xml:space="preserve"> </w:t>
      </w:r>
      <w:r>
        <w:t xml:space="preserve">traditional</w:t>
      </w:r>
      <w:r>
        <w:t xml:space="preserve"> </w:t>
      </w:r>
      <w:r>
        <w:t xml:space="preserve">EQD2</w:t>
      </w:r>
      <w:r>
        <w:t xml:space="preserve"> </w:t>
      </w:r>
      <w:r>
        <w:t xml:space="preserve">method</w:t>
      </w:r>
      <w:r>
        <w:t xml:space="preserve"> </w:t>
      </w:r>
      <w:r>
        <w:t xml:space="preserve">with</w:t>
      </w:r>
      <w:r>
        <w:t xml:space="preserve"> </w:t>
      </w:r>
      <m:oMath>
        <m:r>
          <m:t>α</m:t>
        </m:r>
        <m:r>
          <m:t>/</m:t>
        </m:r>
        <m:r>
          <m:t>β</m:t>
        </m:r>
      </m:oMath>
      <w:r>
        <w:t xml:space="preserve">=3.0Gy.</w:t>
      </w:r>
    </w:p>
    <w:p>
      <w:pPr>
        <w:pStyle w:val="Abstract"/>
      </w:pPr>
      <w:r>
        <w:rPr>
          <w:b/>
        </w:rPr>
        <w:t xml:space="preserve">Conclusion:</w:t>
      </w:r>
      <w:r>
        <w:rPr>
          <w:b/>
        </w:rPr>
        <w:t xml:space="preserve"> </w:t>
      </w:r>
      <w:r>
        <w:rPr>
          <w:b/>
        </w:rPr>
        <w:t xml:space="preserve">  </w:t>
      </w:r>
      <w:r>
        <w:t xml:space="preserve">A</w:t>
      </w:r>
      <w:r>
        <w:t xml:space="preserve"> </w:t>
      </w:r>
      <w:r>
        <w:t xml:space="preserve">practical</w:t>
      </w:r>
      <w:r>
        <w:t xml:space="preserve"> </w:t>
      </w:r>
      <w:r>
        <w:t xml:space="preserve">process</w:t>
      </w:r>
      <w:r>
        <w:t xml:space="preserve"> </w:t>
      </w:r>
      <w:r>
        <w:t xml:space="preserve">was</w:t>
      </w:r>
      <w:r>
        <w:t xml:space="preserve"> </w:t>
      </w:r>
      <w:r>
        <w:t xml:space="preserve">developed</w:t>
      </w:r>
      <w:r>
        <w:t xml:space="preserve"> </w:t>
      </w:r>
      <w:r>
        <w:t xml:space="preserve">to</w:t>
      </w:r>
      <w:r>
        <w:t xml:space="preserve"> </w:t>
      </w:r>
      <w:r>
        <w:t xml:space="preserve">obtain</w:t>
      </w:r>
      <w:r>
        <w:t xml:space="preserve"> </w:t>
      </w:r>
      <w:r>
        <w:t xml:space="preserve">organ-specific</w:t>
      </w:r>
      <w:r>
        <w:t xml:space="preserve"> </w:t>
      </w:r>
      <w:r>
        <w:t xml:space="preserve">radiobiological</w:t>
      </w:r>
      <w:r>
        <w:t xml:space="preserve"> </w:t>
      </w:r>
      <w:r>
        <w:t xml:space="preserve">model</w:t>
      </w:r>
      <w:r>
        <w:t xml:space="preserve"> </w:t>
      </w:r>
      <w:r>
        <w:t xml:space="preserve">parameters</w:t>
      </w:r>
      <w:r>
        <w:t xml:space="preserve"> </w:t>
      </w:r>
      <w:r>
        <w:t xml:space="preserve">from</w:t>
      </w:r>
      <w:r>
        <w:t xml:space="preserve"> </w:t>
      </w:r>
      <w:r>
        <w:t xml:space="preserve">clinical</w:t>
      </w:r>
      <w:r>
        <w:t xml:space="preserve"> </w:t>
      </w:r>
      <w:r>
        <w:t xml:space="preserve">data</w:t>
      </w:r>
      <w:r>
        <w:t xml:space="preserve"> </w:t>
      </w:r>
      <w:r>
        <w:t xml:space="preserve">and</w:t>
      </w:r>
      <w:r>
        <w:t xml:space="preserve"> </w:t>
      </w:r>
      <w:r>
        <w:t xml:space="preserve">was</w:t>
      </w:r>
      <w:r>
        <w:t xml:space="preserve"> </w:t>
      </w:r>
      <w:r>
        <w:t xml:space="preserve">shown</w:t>
      </w:r>
      <w:r>
        <w:t xml:space="preserve"> </w:t>
      </w:r>
      <w:r>
        <w:t xml:space="preserve">to</w:t>
      </w:r>
      <w:r>
        <w:t xml:space="preserve"> </w:t>
      </w:r>
      <w:r>
        <w:t xml:space="preserve">generate</w:t>
      </w:r>
      <w:r>
        <w:t xml:space="preserve"> </w:t>
      </w:r>
      <w:r>
        <w:t xml:space="preserve">more</w:t>
      </w:r>
      <w:r>
        <w:t xml:space="preserve"> </w:t>
      </w:r>
      <w:r>
        <w:t xml:space="preserve">clinically</w:t>
      </w:r>
      <w:r>
        <w:t xml:space="preserve"> </w:t>
      </w:r>
      <w:r>
        <w:t xml:space="preserve">relevant</w:t>
      </w:r>
      <w:r>
        <w:t xml:space="preserve"> </w:t>
      </w:r>
      <w:r>
        <w:t xml:space="preserve">model</w:t>
      </w:r>
      <w:r>
        <w:t xml:space="preserve"> </w:t>
      </w:r>
      <w:r>
        <w:t xml:space="preserve">parameters</w:t>
      </w:r>
      <w:r>
        <w:t xml:space="preserve"> </w:t>
      </w:r>
      <w:r>
        <w:t xml:space="preserve">for</w:t>
      </w:r>
      <w:r>
        <w:t xml:space="preserve"> </w:t>
      </w:r>
      <w:r>
        <w:t xml:space="preserve">calculating</w:t>
      </w:r>
      <w:r>
        <w:t xml:space="preserve"> </w:t>
      </w:r>
      <w:r>
        <w:t xml:space="preserve">BED</w:t>
      </w:r>
      <w:r>
        <w:t xml:space="preserve"> </w:t>
      </w:r>
      <w:r>
        <w:t xml:space="preserve">distributions</w:t>
      </w:r>
      <w:r>
        <w:t xml:space="preserve"> </w:t>
      </w:r>
      <w:r>
        <w:t xml:space="preserve">compared</w:t>
      </w:r>
      <w:r>
        <w:t xml:space="preserve"> </w:t>
      </w:r>
      <w:r>
        <w:t xml:space="preserve">to</w:t>
      </w:r>
      <w:r>
        <w:t xml:space="preserve"> </w:t>
      </w:r>
      <w:r>
        <w:t xml:space="preserve">those</w:t>
      </w:r>
      <w:r>
        <w:t xml:space="preserve"> </w:t>
      </w:r>
      <w:r>
        <w:t xml:space="preserve">extracted</w:t>
      </w:r>
      <w:r>
        <w:t xml:space="preserve"> </w:t>
      </w:r>
      <w:r>
        <w:t xml:space="preserve">from</w:t>
      </w:r>
      <w:r>
        <w:t xml:space="preserve"> </w:t>
      </w:r>
      <w:r>
        <w:t xml:space="preserve">cell</w:t>
      </w:r>
      <w:r>
        <w:t xml:space="preserve"> </w:t>
      </w:r>
      <w:r>
        <w:t xml:space="preserve">line</w:t>
      </w:r>
      <w:r>
        <w:t xml:space="preserve"> </w:t>
      </w:r>
      <w:r>
        <w:t xml:space="preserve">survival</w:t>
      </w:r>
      <w:r>
        <w:t xml:space="preserve"> </w:t>
      </w:r>
      <w:r>
        <w:t xml:space="preserve">data.</w:t>
      </w:r>
      <w:r>
        <w:t xml:space="preserve"> </w:t>
      </w:r>
      <w:r>
        <w:t xml:space="preserve">The</w:t>
      </w:r>
      <w:r>
        <w:t xml:space="preserve"> </w:t>
      </w:r>
      <w:r>
        <w:t xml:space="preserve">practicality</w:t>
      </w:r>
      <w:r>
        <w:t xml:space="preserve"> </w:t>
      </w:r>
      <w:r>
        <w:t xml:space="preserve">of</w:t>
      </w:r>
      <w:r>
        <w:t xml:space="preserve"> </w:t>
      </w:r>
      <w:r>
        <w:t xml:space="preserve">the</w:t>
      </w:r>
      <w:r>
        <w:t xml:space="preserve"> </w:t>
      </w:r>
      <w:r>
        <w:t xml:space="preserve">obtained</w:t>
      </w:r>
      <w:r>
        <w:t xml:space="preserve"> </w:t>
      </w:r>
      <w:r>
        <w:t xml:space="preserve">parameters</w:t>
      </w:r>
      <w:r>
        <w:t xml:space="preserve"> </w:t>
      </w:r>
      <w:r>
        <w:t xml:space="preserve">was</w:t>
      </w:r>
      <w:r>
        <w:t xml:space="preserve"> </w:t>
      </w:r>
      <w:r>
        <w:t xml:space="preserve">demonstrated</w:t>
      </w:r>
      <w:r>
        <w:t xml:space="preserve"> </w:t>
      </w:r>
      <w:r>
        <w:t xml:space="preserve">in</w:t>
      </w:r>
      <w:r>
        <w:t xml:space="preserve"> </w:t>
      </w:r>
      <w:r>
        <w:t xml:space="preserve">creating</w:t>
      </w:r>
      <w:r>
        <w:t xml:space="preserve"> </w:t>
      </w:r>
      <w:r>
        <w:t xml:space="preserve">composite</w:t>
      </w:r>
      <w:r>
        <w:t xml:space="preserve"> </w:t>
      </w:r>
      <w:r>
        <w:t xml:space="preserve">plans</w:t>
      </w:r>
      <w:r>
        <w:t xml:space="preserve"> </w:t>
      </w:r>
      <w:r>
        <w:t xml:space="preserve">for</w:t>
      </w:r>
      <w:r>
        <w:t xml:space="preserve"> </w:t>
      </w:r>
      <w:r>
        <w:t xml:space="preserve">retreatment.</w:t>
      </w:r>
    </w:p>
    <w:p>
      <w:pPr>
        <w:pStyle w:val="Heading1"/>
      </w:pPr>
      <w:bookmarkStart w:id="21" w:name="introduction"/>
      <w:bookmarkEnd w:id="21"/>
      <w:r>
        <w:t xml:space="preserve">Introduction</w:t>
      </w:r>
    </w:p>
    <w:p>
      <w:pPr>
        <w:pStyle w:val="FirstParagraph"/>
      </w:pPr>
      <w:r>
        <w:t xml:space="preserve">The response of normal tissues and tumors to radiation therapy (RT) has been a main concern to the radiation oncology community for many decades and several research papers have discussed in details these challenges ( ref).</w:t>
      </w:r>
      <w:r>
        <w:t xml:space="preserve"> </w:t>
      </w:r>
      <w:r>
        <w:t xml:space="preserve">The reason being that RT is prescribed to treat tumor cells which is a benefit but exposed normal tissues to radiation during the course of treatment is a detriment to the patient.</w:t>
      </w:r>
      <w:r>
        <w:t xml:space="preserve"> </w:t>
      </w:r>
      <w:r>
        <w:t xml:space="preserve">For instance in Ref blah, they discussed blah blah and in Ref blah2, they talk about blah blah.</w:t>
      </w:r>
      <w:r>
        <w:t xml:space="preserve"> </w:t>
      </w:r>
      <w:r>
        <w:t xml:space="preserve">The biologic effect of these normal tissues to RT depend largely on the total dose (D) and the fractional dose (d) of the prescribed treatment.</w:t>
      </w:r>
      <w:r>
        <w:t xml:space="preserve"> </w:t>
      </w:r>
      <w:r>
        <w:t xml:space="preserve">Other factors that are equally important are dose rate and the overall treatment time.</w:t>
      </w:r>
      <w:r>
        <w:br w:type="textWrapping"/>
      </w:r>
      <w:r>
        <w:rPr>
          <w:b/>
        </w:rPr>
        <w:t xml:space="preserve">how dose rate affect biologic effect</w:t>
      </w:r>
      <w:r>
        <w:t xml:space="preserve">.</w:t>
      </w:r>
      <w:r>
        <w:br w:type="textWrapping"/>
      </w:r>
      <w:r>
        <w:rPr>
          <w:b/>
        </w:rPr>
        <w:t xml:space="preserve">how overall treatment time affect biologic effect</w:t>
      </w:r>
      <w:r>
        <w:t xml:space="preserve">.</w:t>
      </w:r>
    </w:p>
    <w:p>
      <w:pPr>
        <w:pStyle w:val="BodyText"/>
      </w:pPr>
      <w:r>
        <w:t xml:space="preserve">Many models blah blah</w:t>
      </w:r>
    </w:p>
    <w:p>
      <w:pPr>
        <w:pStyle w:val="BodyText"/>
      </w:pPr>
      <w:r>
        <w:t xml:space="preserve">There are several radiobiological models proposed to predict radiation response</w:t>
      </w:r>
    </w:p>
    <w:p>
      <w:pPr>
        <w:pStyle w:val="BodyText"/>
      </w:pPr>
      <w:r>
        <w:t xml:space="preserve">The LQ model is used to describe the survival fraction () of clonogenic or stem cells as a function of radiation dose per fraction () given as:</w:t>
      </w:r>
    </w:p>
    <w:p>
      <w:pPr>
        <w:pStyle w:val="BodyText"/>
      </w:pPr>
      <m:oMathPara>
        <m:oMathParaPr>
          <m:jc m:val="center"/>
        </m:oMathParaPr>
        <m:oMath>
          <m:r>
            <m:rPr>
              <m:sty m:val="p"/>
            </m:rPr>
            <m:t>SF</m:t>
          </m:r>
          <m:r>
            <m:t>=</m:t>
          </m:r>
          <m:sSup>
            <m:e>
              <m:r>
                <m:t>e</m:t>
              </m:r>
            </m:e>
            <m:sup>
              <m:r>
                <m:t>−</m:t>
              </m:r>
              <m:r>
                <m:t>(</m:t>
              </m:r>
              <m:r>
                <m:t>α</m:t>
              </m:r>
              <m:r>
                <m:t>d</m:t>
              </m:r>
              <m:r>
                <m:t>+</m:t>
              </m:r>
              <m:r>
                <m:t>β</m:t>
              </m:r>
              <m:sSup>
                <m:e>
                  <m:r>
                    <m:t>d</m:t>
                  </m:r>
                </m:e>
                <m:sup>
                  <m:r>
                    <m:t>2</m:t>
                  </m:r>
                </m:sup>
              </m:sSup>
              <m:r>
                <m:t>)</m:t>
              </m:r>
            </m:sup>
          </m:sSup>
        </m:oMath>
      </m:oMathPara>
    </w:p>
    <w:p>
      <w:pPr>
        <w:pStyle w:val="FirstParagraph"/>
      </w:pPr>
      <w:r>
        <w:t xml:space="preserve">where</w:t>
      </w:r>
      <w:r>
        <w:t xml:space="preserve"> </w:t>
      </w:r>
      <m:oMath>
        <m:r>
          <m:t>α</m:t>
        </m:r>
      </m:oMath>
      <w:r>
        <w:t xml:space="preserve"> </w:t>
      </w:r>
      <w:r>
        <w:t xml:space="preserve">is the log</w:t>
      </w:r>
      <m:oMath>
        <m:sSub>
          <m:e>
            <m:r>
              <m:t/>
            </m:r>
          </m:e>
          <m:sub>
            <m:r>
              <m:t>e</m:t>
            </m:r>
          </m:sub>
        </m:sSub>
      </m:oMath>
      <w:r>
        <w:t xml:space="preserve"> </w:t>
      </w:r>
      <w:r>
        <w:t xml:space="preserve">cell kill per</w:t>
      </w:r>
      <w:r>
        <w:t xml:space="preserve"> </w:t>
      </w:r>
      <m:oMath>
        <m:r>
          <m:t>G</m:t>
        </m:r>
        <m:r>
          <m:t>y</m:t>
        </m:r>
      </m:oMath>
      <w:r>
        <w:t xml:space="preserve"> </w:t>
      </w:r>
      <w:r>
        <w:t xml:space="preserve">of the linear component (</w:t>
      </w:r>
      <m:oMath>
        <m:r>
          <m:t>d</m:t>
        </m:r>
      </m:oMath>
      <w:r>
        <w:t xml:space="preserve">) and</w:t>
      </w:r>
      <w:r>
        <w:t xml:space="preserve"> </w:t>
      </w:r>
      <m:oMath>
        <m:r>
          <m:t>β</m:t>
        </m:r>
      </m:oMath>
      <w:r>
        <w:t xml:space="preserve"> </w:t>
      </w:r>
      <w:r>
        <w:t xml:space="preserve">is the log</w:t>
      </w:r>
      <m:oMath>
        <m:sSub>
          <m:e>
            <m:r>
              <m:t/>
            </m:r>
          </m:e>
          <m:sub>
            <m:r>
              <m:t>e</m:t>
            </m:r>
          </m:sub>
        </m:sSub>
      </m:oMath>
      <w:r>
        <w:t xml:space="preserve"> </w:t>
      </w:r>
      <w:r>
        <w:t xml:space="preserve">cell kill per</w:t>
      </w:r>
      <w:r>
        <w:t xml:space="preserve"> </w:t>
      </w:r>
      <m:oMath>
        <m:r>
          <m:t>G</m:t>
        </m:r>
        <m:r>
          <m:t>y</m:t>
        </m:r>
      </m:oMath>
      <w:r>
        <w:t xml:space="preserve"> </w:t>
      </w:r>
      <w:r>
        <w:t xml:space="preserve">of the quadractic component (</w:t>
      </w:r>
      <m:oMath>
        <m:sSup>
          <m:e>
            <m:r>
              <m:t>d</m:t>
            </m:r>
          </m:e>
          <m:sup>
            <m:r>
              <m:t>2</m:t>
            </m:r>
          </m:sup>
        </m:sSup>
      </m:oMath>
      <w:r>
        <w:t xml:space="preserve">). They both represents the intrinsic radiosensitivity of the irradiated cells.</w:t>
      </w:r>
    </w:p>
    <w:p>
      <w:pPr>
        <w:pStyle w:val="BodyText"/>
      </w:pPr>
      <w:r>
        <w:t xml:space="preserve">We applied Eq. ??? to mammalian cells exposed to sparsely ionizing x-rays up to a radiation dose of</w:t>
      </w:r>
      <w:r>
        <w:t xml:space="preserve"> </w:t>
      </w:r>
      <m:oMath>
        <m:r>
          <m:t>16</m:t>
        </m:r>
        <m:r>
          <m:t> </m:t>
        </m:r>
        <m:r>
          <m:rPr>
            <m:sty m:val="p"/>
          </m:rPr>
          <m:t>G</m:t>
        </m:r>
        <m:r>
          <m:rPr>
            <m:sty m:val="p"/>
          </m:rPr>
          <m:t>y</m:t>
        </m:r>
      </m:oMath>
      <w:r>
        <w:t xml:space="preserve"> </w:t>
      </w:r>
      <w:r>
        <w:t xml:space="preserve">as shown in fig. ???. This survival data was digitized from the famous radiobiology book (Hall and Giaccia 2018) (figure 3.3).</w:t>
      </w:r>
      <w:r>
        <w:t xml:space="preserve"> </w:t>
      </w:r>
      <w:r>
        <w:t xml:space="preserve">It is seen that linear part,</w:t>
      </w:r>
      <w:r>
        <w:t xml:space="preserve"> </w:t>
      </w:r>
      <m:oMath>
        <m:sSup>
          <m:e>
            <m:r>
              <m:t>e</m:t>
            </m:r>
          </m:e>
          <m:sup>
            <m:r>
              <m:t>−</m:t>
            </m:r>
            <m:r>
              <m:t>α</m:t>
            </m:r>
            <m:r>
              <m:t>d</m:t>
            </m:r>
          </m:sup>
        </m:sSup>
      </m:oMath>
      <w:r>
        <w:t xml:space="preserve">, fits the initial part (broad shoulder) of the data up to</w:t>
      </w:r>
      <w:r>
        <w:t xml:space="preserve"> </w:t>
      </w:r>
      <m:oMath>
        <m:r>
          <m:t>4</m:t>
        </m:r>
        <m:r>
          <m:t> </m:t>
        </m:r>
        <m:r>
          <m:rPr>
            <m:sty m:val="p"/>
          </m:rPr>
          <m:t>G</m:t>
        </m:r>
        <m:r>
          <m:rPr>
            <m:sty m:val="p"/>
          </m:rPr>
          <m:t>y</m:t>
        </m:r>
      </m:oMath>
      <w:r>
        <w:t xml:space="preserve"> </w:t>
      </w:r>
      <w:r>
        <w:t xml:space="preserve">with</w:t>
      </w:r>
      <w:r>
        <w:t xml:space="preserve"> </w:t>
      </w:r>
      <m:oMath>
        <m:r>
          <m:t>α</m:t>
        </m:r>
        <m:r>
          <m:t>=</m:t>
        </m:r>
        <m:r>
          <m:t>x</m:t>
        </m:r>
        <m:r>
          <m:t>x</m:t>
        </m:r>
      </m:oMath>
      <w:r>
        <w:t xml:space="preserve"> </w:t>
      </w:r>
      <w:r>
        <w:t xml:space="preserve">[CHECK] and widely overestimates the rest of the data.</w:t>
      </w:r>
      <w:r>
        <w:t xml:space="preserve"> </w:t>
      </w:r>
      <w:r>
        <w:t xml:space="preserve">The quadratic part,</w:t>
      </w:r>
      <w:r>
        <w:t xml:space="preserve"> </w:t>
      </w:r>
      <m:oMath>
        <m:sSup>
          <m:e>
            <m:r>
              <m:t>e</m:t>
            </m:r>
          </m:e>
          <m:sup>
            <m:r>
              <m:t>−</m:t>
            </m:r>
            <m:r>
              <m:t>β</m:t>
            </m:r>
            <m:sSup>
              <m:e>
                <m:r>
                  <m:t>d</m:t>
                </m:r>
              </m:e>
              <m:sup>
                <m:r>
                  <m:t>2</m:t>
                </m:r>
              </m:sup>
            </m:sSup>
          </m:sup>
        </m:sSup>
      </m:oMath>
      <w:r>
        <w:t xml:space="preserve">, mostly overestimates (much better than it’s counterpart) up to</w:t>
      </w:r>
      <w:r>
        <w:t xml:space="preserve"> </w:t>
      </w:r>
      <m:oMath>
        <m:r>
          <m:t>12</m:t>
        </m:r>
        <m:r>
          <m:t> </m:t>
        </m:r>
        <m:r>
          <m:rPr>
            <m:sty m:val="p"/>
          </m:rPr>
          <m:t>G</m:t>
        </m:r>
        <m:r>
          <m:rPr>
            <m:sty m:val="p"/>
          </m:rPr>
          <m:t>y</m:t>
        </m:r>
      </m:oMath>
      <w:r>
        <w:t xml:space="preserve"> </w:t>
      </w:r>
      <w:r>
        <w:t xml:space="preserve">[CHECK].</w:t>
      </w:r>
    </w:p>
    <w:p>
      <w:pPr>
        <w:pStyle w:val="BodyText"/>
      </w:pPr>
      <w:r>
        <w:t xml:space="preserve">The combination of these two curves (LQ model) fits the experimental data up to</w:t>
      </w:r>
      <w:r>
        <w:t xml:space="preserve"> </w:t>
      </w:r>
      <m:oMath>
        <m:r>
          <m:t>8</m:t>
        </m:r>
        <m:r>
          <m:t> </m:t>
        </m:r>
        <m:r>
          <m:rPr>
            <m:sty m:val="p"/>
          </m:rPr>
          <m:t>G</m:t>
        </m:r>
        <m:r>
          <m:rPr>
            <m:sty m:val="p"/>
          </m:rPr>
          <m:t>y</m:t>
        </m:r>
      </m:oMath>
      <w:r>
        <w:t xml:space="preserve">[CHECK] with an</w:t>
      </w:r>
      <w:r>
        <w:t xml:space="preserve"> </w:t>
      </w:r>
      <m:oMath>
        <m:r>
          <m:t>α</m:t>
        </m:r>
      </m:oMath>
      <w:r>
        <w:t xml:space="preserve"> </w:t>
      </w:r>
      <w:r>
        <w:t xml:space="preserve">and</w:t>
      </w:r>
      <w:r>
        <w:t xml:space="preserve"> </w:t>
      </w:r>
      <m:oMath>
        <m:r>
          <m:t>β</m:t>
        </m:r>
      </m:oMath>
      <w:r>
        <w:t xml:space="preserve"> </w:t>
      </w:r>
      <w:r>
        <w:t xml:space="preserve">values of</w:t>
      </w:r>
      <w:r>
        <w:t xml:space="preserve"> </w:t>
      </w:r>
      <m:oMath>
        <m:r>
          <m:t>3</m:t>
        </m:r>
        <m:r>
          <m:t> </m:t>
        </m:r>
        <m:r>
          <m:rPr>
            <m:sty m:val="p"/>
          </m:rPr>
          <m:t>G</m:t>
        </m:r>
        <m:r>
          <m:rPr>
            <m:sty m:val="p"/>
          </m:rPr>
          <m:t>y</m:t>
        </m:r>
      </m:oMath>
      <w:r>
        <w:t xml:space="preserve"> </w:t>
      </w:r>
      <w:r>
        <w:t xml:space="preserve">and</w:t>
      </w:r>
      <w:r>
        <w:t xml:space="preserve"> </w:t>
      </w:r>
      <m:oMath>
        <m:r>
          <m:t>4</m:t>
        </m:r>
        <m:r>
          <m:t> </m:t>
        </m:r>
        <m:r>
          <m:rPr>
            <m:sty m:val="p"/>
          </m:rPr>
          <m:t>G</m:t>
        </m:r>
        <m:r>
          <m:rPr>
            <m:sty m:val="p"/>
          </m:rPr>
          <m:t>y</m:t>
        </m:r>
      </m:oMath>
      <w:r>
        <w:t xml:space="preserve"> </w:t>
      </w:r>
      <w:r>
        <w:t xml:space="preserve">respectively.</w:t>
      </w:r>
    </w:p>
    <w:p>
      <w:pPr>
        <w:pStyle w:val="BodyText"/>
      </w:pPr>
      <w:r>
        <w:t xml:space="preserve">When the linear and quadratic curves intersect</w:t>
      </w:r>
      <w:r>
        <w:t xml:space="preserve"> </w:t>
      </w:r>
      <w:r>
        <w:t xml:space="preserve">(</w:t>
      </w:r>
      <m:oMath>
        <m:sSup>
          <m:e>
            <m:r>
              <m:t>e</m:t>
            </m:r>
          </m:e>
          <m:sup>
            <m:r>
              <m:t>−</m:t>
            </m:r>
            <m:r>
              <m:t>α</m:t>
            </m:r>
            <m:r>
              <m:t>d</m:t>
            </m:r>
          </m:sup>
        </m:sSup>
        <m:r>
          <m:t>=</m:t>
        </m:r>
        <m:sSup>
          <m:e>
            <m:r>
              <m:t>e</m:t>
            </m:r>
          </m:e>
          <m:sup>
            <m:r>
              <m:t>−</m:t>
            </m:r>
            <m:r>
              <m:t>β</m:t>
            </m:r>
            <m:sSup>
              <m:e>
                <m:r>
                  <m:t>d</m:t>
                </m:r>
              </m:e>
              <m:sup>
                <m:r>
                  <m:t>2</m:t>
                </m:r>
              </m:sup>
            </m:sSup>
          </m:sup>
        </m:sSup>
      </m:oMath>
      <w:r>
        <w:t xml:space="preserve">),</w:t>
      </w:r>
      <w:r>
        <w:t xml:space="preserve"> </w:t>
      </w:r>
      <w:r>
        <w:t xml:space="preserve">the</w:t>
      </w:r>
      <w:r>
        <w:t xml:space="preserve"> </w:t>
      </w:r>
      <m:oMath>
        <m:r>
          <m:t>α</m:t>
        </m:r>
        <m:r>
          <m:t>d</m:t>
        </m:r>
      </m:oMath>
      <w:r>
        <w:t xml:space="preserve"> </w:t>
      </w:r>
      <w:r>
        <w:t xml:space="preserve">and</w:t>
      </w:r>
      <w:r>
        <w:t xml:space="preserve"> </w:t>
      </w:r>
      <m:oMath>
        <m:r>
          <m:t>β</m:t>
        </m:r>
        <m:sSup>
          <m:e>
            <m:r>
              <m:t>d</m:t>
            </m:r>
          </m:e>
          <m:sup>
            <m:r>
              <m:t>2</m:t>
            </m:r>
          </m:sup>
        </m:sSup>
      </m:oMath>
      <w:r>
        <w:t xml:space="preserve"> </w:t>
      </w:r>
      <w:r>
        <w:t xml:space="preserve">components of cell killing are equal.</w:t>
      </w:r>
      <w:r>
        <w:t xml:space="preserve"> </w:t>
      </w:r>
      <w:r>
        <w:t xml:space="preserve">This intersection dose is called</w:t>
      </w:r>
      <w:r>
        <w:t xml:space="preserve"> </w:t>
      </w:r>
      <m:oMath>
        <m:r>
          <m:t>α</m:t>
        </m:r>
        <m:r>
          <m:t>/</m:t>
        </m:r>
        <m:r>
          <m:t>β</m:t>
        </m:r>
      </m:oMath>
      <w:r>
        <w:t xml:space="preserve"> </w:t>
      </w:r>
      <w:r>
        <w:t xml:space="preserve">ratio with units in</w:t>
      </w:r>
      <w:r>
        <w:t xml:space="preserve"> </w:t>
      </w:r>
      <m:oMath>
        <m:r>
          <m:rPr>
            <m:sty m:val="p"/>
          </m:rPr>
          <m:t>G</m:t>
        </m:r>
        <m:r>
          <m:rPr>
            <m:sty m:val="p"/>
          </m:rPr>
          <m:t>y</m:t>
        </m:r>
      </m:oMath>
      <w:r>
        <w:t xml:space="preserve">.</w:t>
      </w:r>
    </w:p>
    <w:p>
      <w:pPr>
        <w:pStyle w:val="FigureWithCaption"/>
      </w:pPr>
      <w:r>
        <w:drawing>
          <wp:inline>
            <wp:extent cx="250800" cy="244800"/>
            <wp:effectExtent b="0" l="0" r="0" t="0"/>
            <wp:docPr descr="A plot of survival curve for mammalian cells exposed to radiation. The survival fraction is plotted on a logarithm scale and dose is plotted on the linear scale. The LQ model fits nicely on the experimental data. " title="" id="1" name="Picture"/>
            <a:graphic>
              <a:graphicData uri="http://schemas.openxmlformats.org/drawingml/2006/picture">
                <pic:pic>
                  <pic:nvPicPr>
                    <pic:cNvPr descr="figures/Screenshot-(53)/Screenshot-(53).png" id="0" name="Picture"/>
                    <pic:cNvPicPr>
                      <a:picLocks noChangeArrowheads="1" noChangeAspect="1"/>
                    </pic:cNvPicPr>
                  </pic:nvPicPr>
                  <pic:blipFill>
                    <a:blip r:embed="rId22"/>
                    <a:stretch>
                      <a:fillRect/>
                    </a:stretch>
                  </pic:blipFill>
                  <pic:spPr bwMode="auto">
                    <a:xfrm>
                      <a:off x="0" y="0"/>
                      <a:ext cx="250800" cy="244800"/>
                    </a:xfrm>
                    <a:prstGeom prst="rect">
                      <a:avLst/>
                    </a:prstGeom>
                    <a:noFill/>
                    <a:ln w="9525">
                      <a:noFill/>
                      <a:headEnd/>
                      <a:tailEnd/>
                    </a:ln>
                  </pic:spPr>
                </pic:pic>
              </a:graphicData>
            </a:graphic>
          </wp:inline>
        </w:drawing>
      </w:r>
    </w:p>
    <w:p>
      <w:pPr>
        <w:pStyle w:val="ImageCaption"/>
      </w:pPr>
      <w:r>
        <w:t xml:space="preserve">A plot of survival curve for mammalian cells exposed to radiation. The</w:t>
      </w:r>
      <w:r>
        <w:t xml:space="preserve"> </w:t>
      </w:r>
      <w:r>
        <w:t xml:space="preserve">survival fraction is plotted on a logarithm scale and dose is plotted on</w:t>
      </w:r>
      <w:r>
        <w:t xml:space="preserve"> </w:t>
      </w:r>
      <w:r>
        <w:t xml:space="preserve">the linear scale. The LQ model fits nicely on the experimental data.</w:t>
      </w:r>
      <w:r>
        <w:t xml:space="preserve"> </w:t>
      </w:r>
    </w:p>
    <w:p>
      <w:pPr>
        <w:pStyle w:val="BodyText"/>
      </w:pPr>
      <w:r>
        <w:t xml:space="preserve">The</w:t>
      </w:r>
      <w:r>
        <w:t xml:space="preserve"> </w:t>
      </w:r>
      <m:oMath>
        <m:r>
          <m:t>α</m:t>
        </m:r>
        <m:r>
          <m:t>/</m:t>
        </m:r>
        <m:r>
          <m:t>β</m:t>
        </m:r>
      </m:oMath>
      <w:r>
        <w:t xml:space="preserve"> </w:t>
      </w:r>
      <w:r>
        <w:t xml:space="preserve">which is the ratio of the two parameters is the measure of the cells sensitivity to dose fractionation.</w:t>
      </w:r>
      <w:r>
        <w:t xml:space="preserve"> </w:t>
      </w:r>
      <w:r>
        <w:t xml:space="preserve">A higher</w:t>
      </w:r>
      <w:r>
        <w:t xml:space="preserve"> </w:t>
      </w:r>
      <m:oMath>
        <m:r>
          <m:t>α</m:t>
        </m:r>
        <m:r>
          <m:t>/</m:t>
        </m:r>
        <m:r>
          <m:t>β</m:t>
        </m:r>
      </m:oMath>
      <w:r>
        <w:t xml:space="preserve"> </w:t>
      </w:r>
      <w:r>
        <w:t xml:space="preserve">ratio means the cells are less sensitive to the sparing effect of fractionation and the more linear the survival curve is whereas a lower</w:t>
      </w:r>
      <w:r>
        <w:t xml:space="preserve"> </w:t>
      </w:r>
      <m:oMath>
        <m:r>
          <m:t>α</m:t>
        </m:r>
        <m:r>
          <m:t>/</m:t>
        </m:r>
        <m:r>
          <m:t>β</m:t>
        </m:r>
      </m:oMath>
      <w:r>
        <w:t xml:space="preserve"> </w:t>
      </w:r>
      <w:r>
        <w:t xml:space="preserve">(i.e.,</w:t>
      </w:r>
      <w:r>
        <w:t xml:space="preserve"> </w:t>
      </w:r>
      <m:oMath>
        <m:r>
          <m:t>β</m:t>
        </m:r>
      </m:oMath>
      <w:r>
        <w:t xml:space="preserve"> </w:t>
      </w:r>
      <w:r>
        <w:t xml:space="preserve">is higher relative to</w:t>
      </w:r>
      <w:r>
        <w:t xml:space="preserve"> </w:t>
      </w:r>
      <m:oMath>
        <m:r>
          <m:t>α</m:t>
        </m:r>
      </m:oMath>
      <w:r>
        <w:t xml:space="preserve">) the higher the sensitivity to fractionation scheme and more curved the () curve.</w:t>
      </w:r>
    </w:p>
    <w:p>
      <w:pPr>
        <w:pStyle w:val="BodyText"/>
      </w:pPr>
      <w:r>
        <w:t xml:space="preserve">Biologically effective dose (BED) is a characteristic dose value that is important in understanding tumor and organs at risk (OAR) response to different RT treatment modalities and fractionation schemes.</w:t>
      </w:r>
      <w:r>
        <w:t xml:space="preserve"> </w:t>
      </w:r>
      <w:r>
        <w:t xml:space="preserve">The BED is defined as</w:t>
      </w:r>
      <w:r>
        <w:t xml:space="preserve"> </w:t>
      </w:r>
      <w:r>
        <w:rPr>
          <w:b/>
        </w:rPr>
        <w:t xml:space="preserve">the total dose required to give the same log cell kill as the schedule being studied, at an infinitely low dose-rate or with infinitely small fractions well spaced out; now with an overall time factor for repopulation during continued irradiation.</w:t>
      </w:r>
      <w:r>
        <w:t xml:space="preserve"> (Fowler 2010)</w:t>
      </w:r>
      <w:r>
        <w:rPr>
          <w:b/>
        </w:rPr>
        <w:t xml:space="preserve">[CHECK AND REWRITE]</w:t>
      </w:r>
      <w:r>
        <w:t xml:space="preserve">.</w:t>
      </w:r>
    </w:p>
    <w:p>
      <w:pPr>
        <w:pStyle w:val="BodyText"/>
      </w:pPr>
      <w:r>
        <w:t xml:space="preserve">From Eq. ???, for</w:t>
      </w:r>
      <w:r>
        <w:t xml:space="preserve"> </w:t>
      </w:r>
      <m:oMath>
        <m:r>
          <m:t>n</m:t>
        </m:r>
      </m:oMath>
      <w:r>
        <w:t xml:space="preserve"> </w:t>
      </w:r>
      <w:r>
        <w:t xml:space="preserve">fractions, the survival fraction becomes;</w:t>
      </w:r>
    </w:p>
    <w:p>
      <w:pPr>
        <w:pStyle w:val="BodyText"/>
      </w:pPr>
      <m:oMathPara>
        <m:oMathParaPr>
          <m:jc m:val="center"/>
        </m:oMathParaPr>
        <m:oMath>
          <m:r>
            <m:t>−</m:t>
          </m:r>
          <m:r>
            <m:rPr>
              <m:sty m:val="p"/>
            </m:rPr>
            <m:t>ln SF</m:t>
          </m:r>
          <m:r>
            <m:t>=</m:t>
          </m:r>
          <m:r>
            <m:t>α</m:t>
          </m:r>
          <m:r>
            <m:t>n</m:t>
          </m:r>
          <m:r>
            <m:t>d</m:t>
          </m:r>
          <m:r>
            <m:t>+</m:t>
          </m:r>
          <m:r>
            <m:t>β</m:t>
          </m:r>
          <m:r>
            <m:t>n</m:t>
          </m:r>
          <m:sSup>
            <m:e>
              <m:r>
                <m:t>d</m:t>
              </m:r>
            </m:e>
            <m:sup>
              <m:r>
                <m:t>2</m:t>
              </m:r>
            </m:sup>
          </m:sSup>
          <m:r>
            <m:t>,</m:t>
          </m:r>
        </m:oMath>
      </m:oMathPara>
    </w:p>
    <w:p>
      <w:pPr>
        <w:pStyle w:val="FirstParagraph"/>
      </w:pPr>
      <w:r>
        <w:t xml:space="preserve">the quantity (</w:t>
      </w:r>
      <m:oMath>
        <m:r>
          <m:t>α</m:t>
        </m:r>
        <m:r>
          <m:t>n</m:t>
        </m:r>
        <m:r>
          <m:t>d</m:t>
        </m:r>
        <m:r>
          <m:t>+</m:t>
        </m:r>
        <m:r>
          <m:t>β</m:t>
        </m:r>
        <m:r>
          <m:t>n</m:t>
        </m:r>
        <m:sSup>
          <m:e>
            <m:r>
              <m:t>d</m:t>
            </m:r>
          </m:e>
          <m:sup>
            <m:r>
              <m:t>2</m:t>
            </m:r>
          </m:sup>
        </m:sSup>
      </m:oMath>
      <w:r>
        <w:t xml:space="preserve">) is the biological effect,</w:t>
      </w:r>
      <w:r>
        <w:t xml:space="preserve"> </w:t>
      </w:r>
      <m:oMath>
        <m:r>
          <m:t>E</m:t>
        </m:r>
      </m:oMath>
      <w:r>
        <w:t xml:space="preserve">.</w:t>
      </w:r>
    </w:p>
    <w:p>
      <w:pPr>
        <w:pStyle w:val="BodyText"/>
      </w:pPr>
      <w:r>
        <w:t xml:space="preserve">In the case where the total dose</w:t>
      </w:r>
      <w:r>
        <w:t xml:space="preserve"> </w:t>
      </w:r>
      <m:oMath>
        <m:r>
          <m:t>D</m:t>
        </m:r>
      </m:oMath>
      <w:r>
        <w:t xml:space="preserve"> </w:t>
      </w:r>
      <w:r>
        <w:t xml:space="preserve">(</w:t>
      </w:r>
      <m:oMath>
        <m:r>
          <m:t>n</m:t>
        </m:r>
        <m:r>
          <m:t>d</m:t>
        </m:r>
      </m:oMath>
      <w:r>
        <w:t xml:space="preserve">) is delivered in</w:t>
      </w:r>
      <w:r>
        <w:t xml:space="preserve"> </w:t>
      </w:r>
      <m:oMath>
        <m:r>
          <m:t>n</m:t>
        </m:r>
      </m:oMath>
      <w:r>
        <w:t xml:space="preserve"> </w:t>
      </w:r>
      <w:r>
        <w:t xml:space="preserve">fractions of size</w:t>
      </w:r>
      <w:r>
        <w:t xml:space="preserve"> </w:t>
      </w:r>
      <m:oMath>
        <m:r>
          <m:t>d</m:t>
        </m:r>
      </m:oMath>
      <w:r>
        <w:t xml:space="preserve">, the formula of BED based on the LQ model is as follows:</w:t>
      </w:r>
    </w:p>
    <w:p>
      <w:pPr>
        <w:pStyle w:val="BodyText"/>
      </w:pPr>
      <m:oMathPara>
        <m:oMathParaPr>
          <m:jc m:val="center"/>
        </m:oMathParaPr>
        <m:oMath>
          <m:r>
            <m:rPr>
              <m:sty m:val="p"/>
            </m:rPr>
            <m:t>B</m:t>
          </m:r>
          <m:r>
            <m:rPr>
              <m:sty m:val="p"/>
            </m:rPr>
            <m:t>E</m:t>
          </m:r>
          <m:r>
            <m:rPr>
              <m:sty m:val="p"/>
            </m:rPr>
            <m:t>D</m:t>
          </m:r>
          <m:r>
            <m:t>=</m:t>
          </m:r>
          <m:f>
            <m:fPr>
              <m:type m:val="bar"/>
            </m:fPr>
            <m:num>
              <m:r>
                <m:t>E</m:t>
              </m:r>
            </m:num>
            <m:den>
              <m:r>
                <m:t>α</m:t>
              </m:r>
            </m:den>
          </m:f>
          <m:r>
            <m:t>=</m:t>
          </m:r>
          <m:r>
            <m:t>n</m:t>
          </m:r>
          <m:r>
            <m:t>d</m:t>
          </m:r>
          <m:d>
            <m:dPr>
              <m:begChr m:val="("/>
              <m:endChr m:val=")"/>
              <m:grow/>
            </m:dPr>
            <m:e>
              <m:r>
                <m:t>1</m:t>
              </m:r>
              <m:r>
                <m:t>+</m:t>
              </m:r>
              <m:f>
                <m:fPr>
                  <m:type m:val="bar"/>
                </m:fPr>
                <m:num>
                  <m:r>
                    <m:t>d</m:t>
                  </m:r>
                </m:num>
                <m:den>
                  <m:r>
                    <m:t>α</m:t>
                  </m:r>
                  <m:r>
                    <m:t>/</m:t>
                  </m:r>
                  <m:r>
                    <m:t>β</m:t>
                  </m:r>
                </m:den>
              </m:f>
            </m:e>
          </m:d>
        </m:oMath>
      </m:oMathPara>
    </w:p>
    <w:p>
      <w:pPr>
        <w:pStyle w:val="FirstParagraph"/>
      </w:pPr>
      <w:r>
        <w:rPr>
          <w:b/>
        </w:rPr>
        <w:t xml:space="preserve">Talk about limitation of LQ; what some papers have said about other LQ correction - Astrahan paper</w:t>
      </w:r>
    </w:p>
    <w:p>
      <w:pPr>
        <w:pStyle w:val="BodyText"/>
      </w:pPr>
      <w:r>
        <w:rPr>
          <w:b/>
        </w:rPr>
        <w:t xml:space="preserve">-multitarget (MT) model</w:t>
      </w:r>
      <w:r>
        <w:br w:type="textWrapping"/>
      </w:r>
      <w:r>
        <w:rPr>
          <w:b/>
        </w:rPr>
        <w:t xml:space="preserve">-park et. al. paper (LQ and MT model)</w:t>
      </w:r>
    </w:p>
    <w:p>
      <w:pPr>
        <w:pStyle w:val="BodyText"/>
      </w:pPr>
      <w:r>
        <w:rPr>
          <w:b/>
        </w:rPr>
        <w:t xml:space="preserve">How it will affect the BED calculations</w:t>
      </w:r>
    </w:p>
    <w:p>
      <w:pPr>
        <w:pStyle w:val="BodyText"/>
      </w:pPr>
      <w:r>
        <w:rPr>
          <w:b/>
        </w:rPr>
        <w:t xml:space="preserve">Talk about a/b=3 for late response tissues and a/b=10 for early response tissues [CHECK WHICH SECTION TO PUT THIS INFO</w:t>
      </w:r>
    </w:p>
    <w:p>
      <w:pPr>
        <w:pStyle w:val="BodyText"/>
      </w:pPr>
      <w:r>
        <w:t xml:space="preserve">The main goal of this study is to develop a practical process to extract organ-specific radiobiologic model parameters that may be used for BED calculations in individualized and retreatment RT planning for</w:t>
      </w:r>
      <w:r>
        <w:t xml:space="preserve"> </w:t>
      </w:r>
      <w:r>
        <w:rPr>
          <w:b/>
        </w:rPr>
        <w:t xml:space="preserve">head and neck cancer [CHECK-ONLY HEAD AND NECK?]</w:t>
      </w:r>
      <w:r>
        <w:t xml:space="preserve">.</w:t>
      </w:r>
    </w:p>
    <w:p>
      <w:pPr>
        <w:pStyle w:val="Heading1"/>
      </w:pPr>
      <w:bookmarkStart w:id="23" w:name="methods"/>
      <w:bookmarkEnd w:id="23"/>
      <w:r>
        <w:t xml:space="preserve">Methods</w:t>
      </w:r>
    </w:p>
    <w:p>
      <w:pPr>
        <w:pStyle w:val="FirstParagraph"/>
      </w:pPr>
      <w:r>
        <w:rPr>
          <w:b/>
        </w:rPr>
        <w:t xml:space="preserve">In order to understand the biological effective of organs to radiotherapy, different kinds of models have been developed</w:t>
      </w:r>
      <w:r>
        <w:rPr>
          <w:b/>
        </w:rPr>
        <w:t xml:space="preserve"> </w:t>
      </w:r>
      <w:r>
        <w:rPr>
          <w:b/>
        </w:rPr>
        <w:t xml:space="preserve">REF</w:t>
      </w:r>
      <w:r>
        <w:rPr>
          <w:b/>
        </w:rPr>
        <w:t xml:space="preserve">. In this work, we will discuss three of these models namely; (i) LQ model, (ii) LQ-L model (3 parameters) and (iii) LQ-L model (4 parameters)</w:t>
      </w:r>
    </w:p>
    <w:p>
      <w:pPr>
        <w:pStyle w:val="BodyText"/>
      </w:pPr>
      <w:r>
        <w:t xml:space="preserve">As the fractional dose increases, the survival curve does not only exhibits linear-quadractic behavior but rather a linear-quadractic-linear (LQ-L) behavior (Guerrero and Li 2004; Carlone, Wilkins, and Raaphorst 2005).</w:t>
      </w:r>
      <w:r>
        <w:t xml:space="preserve"> </w:t>
      </w:r>
      <w:r>
        <w:t xml:space="preserve">To overcome the limitation of underestimation of survival at high fractional doses, Park</w:t>
      </w:r>
      <w:r>
        <w:t xml:space="preserve"> </w:t>
      </w:r>
      <w:r>
        <w:rPr>
          <w:i/>
        </w:rPr>
        <w:t xml:space="preserve">et al.</w:t>
      </w:r>
      <w:r>
        <w:t xml:space="preserve"> (Park et al. 2008) proposed an alternative method called universal survival curve (USC) model which fits survival data at high-dose range without losing the strengths of LQ model around the shoulder. The USC model encompasses both the LQ model and the multitarget (MT) model.</w:t>
      </w:r>
    </w:p>
    <w:p>
      <w:pPr>
        <w:pStyle w:val="BodyText"/>
      </w:pPr>
      <w:r>
        <w:t xml:space="preserve">In this study we use the modified LQ-L model proposed by Astrahan (Astrahan 2008) which employed a more efficient form of the bipartite method proposed by Park</w:t>
      </w:r>
      <w:r>
        <w:t xml:space="preserve"> </w:t>
      </w:r>
      <w:r>
        <w:rPr>
          <w:i/>
        </w:rPr>
        <w:t xml:space="preserve">et al.</w:t>
      </w:r>
      <w:r>
        <w:t xml:space="preserve"> (Park et al. 2008).</w:t>
      </w:r>
    </w:p>
    <w:p>
      <w:pPr>
        <w:pStyle w:val="BodyText"/>
      </w:pPr>
      <w:r>
        <w:rPr>
          <w:b/>
        </w:rPr>
        <w:t xml:space="preserve">Talk about the difference between Astrahan and Park model.</w:t>
      </w:r>
    </w:p>
    <w:p>
      <w:pPr>
        <w:pStyle w:val="BodyText"/>
      </w:pPr>
      <w:r>
        <w:t xml:space="preserve">When we apply the bipartite form to a multi-fraction survival curve in Eq. ???, then</w:t>
      </w:r>
    </w:p>
    <w:p>
      <w:pPr>
        <w:pStyle w:val="BodyText"/>
      </w:pPr>
      <m:oMathPara>
        <m:oMathParaPr>
          <m:jc m:val="center"/>
        </m:oMathParaPr>
        <m:oMath>
          <m:r>
            <m:rPr>
              <m:sty m:val="p"/>
            </m:rPr>
            <m:t>SF</m:t>
          </m:r>
          <m:r>
            <m:t>=</m:t>
          </m:r>
          <m:d>
            <m:dPr>
              <m:begChr m:val="{"/>
              <m:endChr m:val=""/>
              <m:grow/>
            </m:dPr>
            <m:e>
              <m:m>
                <m:mPr>
                  <m:baseJc m:val="center"/>
                  <m:plcHide m:val="1"/>
                  <m:mcs>
                    <m:mc>
                      <m:mcPr>
                        <m:mcJc m:val="left"/>
                        <m:count m:val="1"/>
                      </m:mcPr>
                    </m:mc>
                    <m:mc>
                      <m:mcPr>
                        <m:mcJc m:val="left"/>
                        <m:count m:val="1"/>
                      </m:mcPr>
                    </m:mc>
                  </m:mcs>
                </m:mPr>
                <m:mr>
                  <m:e>
                    <m:sSup>
                      <m:e>
                        <m:r>
                          <m:t>e</m:t>
                        </m:r>
                      </m:e>
                      <m:sup>
                        <m:r>
                          <m:t>−</m:t>
                        </m:r>
                        <m:r>
                          <m:t>(</m:t>
                        </m:r>
                        <m:r>
                          <m:t>α</m:t>
                        </m:r>
                        <m:r>
                          <m:t>d</m:t>
                        </m:r>
                        <m:r>
                          <m:t>+</m:t>
                        </m:r>
                        <m:r>
                          <m:t>β</m:t>
                        </m:r>
                        <m:sSup>
                          <m:e>
                            <m:r>
                              <m:t>d</m:t>
                            </m:r>
                          </m:e>
                          <m:sup>
                            <m:r>
                              <m:t>2</m:t>
                            </m:r>
                          </m:sup>
                        </m:sSup>
                        <m:r>
                          <m:t>)</m:t>
                        </m:r>
                      </m:sup>
                    </m:sSup>
                  </m:e>
                  <m:e>
                    <m:r>
                      <m:rPr>
                        <m:sty m:val="p"/>
                      </m:rPr>
                      <m:t>for </m:t>
                    </m:r>
                    <m:r>
                      <m:t>d</m:t>
                    </m:r>
                    <m:r>
                      <m:t>&lt;</m:t>
                    </m:r>
                    <m:sSub>
                      <m:e>
                        <m:r>
                          <m:t>d</m:t>
                        </m:r>
                      </m:e>
                      <m:sub>
                        <m:r>
                          <m:t>T</m:t>
                        </m:r>
                      </m:sub>
                    </m:sSub>
                  </m:e>
                </m:mr>
                <m:mr>
                  <m:e>
                    <m:sSup>
                      <m:e>
                        <m:r>
                          <m:t>e</m:t>
                        </m:r>
                      </m:e>
                      <m:sup>
                        <m:r>
                          <m:t>−</m:t>
                        </m:r>
                        <m:r>
                          <m:t>(</m:t>
                        </m:r>
                        <m:r>
                          <m:t>α</m:t>
                        </m:r>
                        <m:sSub>
                          <m:e>
                            <m:r>
                              <m:t>d</m:t>
                            </m:r>
                          </m:e>
                          <m:sub>
                            <m:r>
                              <m:t>T</m:t>
                            </m:r>
                          </m:sub>
                        </m:sSub>
                        <m:r>
                          <m:t>+</m:t>
                        </m:r>
                        <m:r>
                          <m:t>β</m:t>
                        </m:r>
                        <m:sSubSup>
                          <m:e>
                            <m:r>
                              <m:t>d</m:t>
                            </m:r>
                          </m:e>
                          <m:sub>
                            <m:r>
                              <m:t>T</m:t>
                            </m:r>
                          </m:sub>
                          <m:sup>
                            <m:r>
                              <m:t>2</m:t>
                            </m:r>
                          </m:sup>
                        </m:sSubSup>
                        <m:r>
                          <m:t>+</m:t>
                        </m:r>
                        <m:r>
                          <m:t>γ</m:t>
                        </m:r>
                        <m:r>
                          <m:t>(</m:t>
                        </m:r>
                        <m:r>
                          <m:t>d</m:t>
                        </m:r>
                        <m:r>
                          <m:t>−</m:t>
                        </m:r>
                        <m:sSub>
                          <m:e>
                            <m:r>
                              <m:t>d</m:t>
                            </m:r>
                          </m:e>
                          <m:sub>
                            <m:r>
                              <m:t>T</m:t>
                            </m:r>
                          </m:sub>
                        </m:sSub>
                        <m:r>
                          <m:t>)</m:t>
                        </m:r>
                        <m:r>
                          <m:t>)</m:t>
                        </m:r>
                      </m:sup>
                    </m:sSup>
                  </m:e>
                  <m:e>
                    <m:r>
                      <m:rPr>
                        <m:sty m:val="p"/>
                      </m:rPr>
                      <m:t>for </m:t>
                    </m:r>
                    <m:r>
                      <m:t>d</m:t>
                    </m:r>
                    <m:r>
                      <m:t>≥</m:t>
                    </m:r>
                    <m:sSub>
                      <m:e>
                        <m:r>
                          <m:t>d</m:t>
                        </m:r>
                      </m:e>
                      <m:sub>
                        <m:r>
                          <m:t>T</m:t>
                        </m:r>
                      </m:sub>
                    </m:sSub>
                  </m:e>
                </m:mr>
              </m:m>
            </m:e>
          </m:d>
        </m:oMath>
      </m:oMathPara>
    </w:p>
    <w:p>
      <w:pPr>
        <w:pStyle w:val="FirstParagraph"/>
      </w:pPr>
      <w:r>
        <w:t xml:space="preserve">where</w:t>
      </w:r>
      <w:r>
        <w:t xml:space="preserve"> </w:t>
      </w:r>
      <m:oMath>
        <m:r>
          <m:t>γ</m:t>
        </m:r>
      </m:oMath>
      <w:r>
        <w:t xml:space="preserve"> </w:t>
      </w:r>
      <w:r>
        <w:t xml:space="preserve">is the log</w:t>
      </w:r>
      <m:oMath>
        <m:sSub>
          <m:e>
            <m:r>
              <m:t/>
            </m:r>
          </m:e>
          <m:sub>
            <m:r>
              <m:t>e</m:t>
            </m:r>
          </m:sub>
        </m:sSub>
      </m:oMath>
      <w:r>
        <w:t xml:space="preserve"> </w:t>
      </w:r>
      <w:r>
        <w:t xml:space="preserve">cell kill per</w:t>
      </w:r>
      <w:r>
        <w:t xml:space="preserve"> </w:t>
      </w:r>
      <m:oMath>
        <m:r>
          <m:t>G</m:t>
        </m:r>
        <m:r>
          <m:t>y</m:t>
        </m:r>
      </m:oMath>
      <w:r>
        <w:t xml:space="preserve"> </w:t>
      </w:r>
      <w:r>
        <w:t xml:space="preserve">for the final linear portion of the survival curve and</w:t>
      </w:r>
      <w:r>
        <w:t xml:space="preserve"> </w:t>
      </w:r>
      <m:oMath>
        <m:sSub>
          <m:e>
            <m:r>
              <m:t>d</m:t>
            </m:r>
          </m:e>
          <m:sub>
            <m:r>
              <m:t>T</m:t>
            </m:r>
          </m:sub>
        </m:sSub>
      </m:oMath>
      <w:r>
        <w:t xml:space="preserve"> </w:t>
      </w:r>
      <w:r>
        <w:t xml:space="preserve">is the transition dose into the linear portion of the survival curve at high doses.</w:t>
      </w:r>
    </w:p>
    <w:p>
      <w:pPr>
        <w:pStyle w:val="BodyText"/>
      </w:pPr>
      <w:r>
        <w:t xml:space="preserve">Also applying the bipartite form to Eq. ???, the BED is given as;</w:t>
      </w:r>
    </w:p>
    <w:p>
      <w:pPr>
        <w:pStyle w:val="BodyText"/>
      </w:pPr>
      <m:oMathPara>
        <m:oMathParaPr>
          <m:jc m:val="center"/>
        </m:oMathParaPr>
        <m:oMath>
          <m:r>
            <m:rPr>
              <m:sty m:val="p"/>
            </m:rPr>
            <m:t>BED</m:t>
          </m:r>
          <m:r>
            <m:t>=</m:t>
          </m:r>
          <m:d>
            <m:dPr>
              <m:begChr m:val="{"/>
              <m:endChr m:val=""/>
              <m:grow/>
            </m:dPr>
            <m:e>
              <m:m>
                <m:mPr>
                  <m:baseJc m:val="center"/>
                  <m:plcHide m:val="1"/>
                  <m:mcs>
                    <m:mc>
                      <m:mcPr>
                        <m:mcJc m:val="left"/>
                        <m:count m:val="1"/>
                      </m:mcPr>
                    </m:mc>
                    <m:mc>
                      <m:mcPr>
                        <m:mcJc m:val="left"/>
                        <m:count m:val="1"/>
                      </m:mcPr>
                    </m:mc>
                  </m:mcs>
                </m:mPr>
                <m:mr>
                  <m:e>
                    <m:r>
                      <m:t>n</m:t>
                    </m:r>
                    <m:r>
                      <m:t>d</m:t>
                    </m:r>
                    <m:d>
                      <m:dPr>
                        <m:begChr m:val="("/>
                        <m:endChr m:val=")"/>
                        <m:grow/>
                      </m:dPr>
                      <m:e>
                        <m:r>
                          <m:t>1</m:t>
                        </m:r>
                        <m:r>
                          <m:t>+</m:t>
                        </m:r>
                        <m:f>
                          <m:fPr>
                            <m:type m:val="bar"/>
                          </m:fPr>
                          <m:num>
                            <m:r>
                              <m:t>d</m:t>
                            </m:r>
                          </m:num>
                          <m:den>
                            <m:r>
                              <m:t>α</m:t>
                            </m:r>
                            <m:r>
                              <m:t>/</m:t>
                            </m:r>
                            <m:r>
                              <m:t>β</m:t>
                            </m:r>
                          </m:den>
                        </m:f>
                      </m:e>
                    </m:d>
                  </m:e>
                  <m:e>
                    <m:r>
                      <m:rPr>
                        <m:sty m:val="p"/>
                      </m:rPr>
                      <m:t>for </m:t>
                    </m:r>
                    <m:r>
                      <m:t>d</m:t>
                    </m:r>
                    <m:r>
                      <m:t>&lt;</m:t>
                    </m:r>
                    <m:sSub>
                      <m:e>
                        <m:r>
                          <m:t>d</m:t>
                        </m:r>
                      </m:e>
                      <m:sub>
                        <m:r>
                          <m:t>T</m:t>
                        </m:r>
                      </m:sub>
                    </m:sSub>
                  </m:e>
                </m:mr>
                <m:mr>
                  <m:e/>
                </m:mr>
                <m:mr>
                  <m:e>
                    <m:r>
                      <m:t>n</m:t>
                    </m:r>
                    <m:sSub>
                      <m:e>
                        <m:r>
                          <m:t>d</m:t>
                        </m:r>
                      </m:e>
                      <m:sub>
                        <m:r>
                          <m:t>T</m:t>
                        </m:r>
                      </m:sub>
                    </m:sSub>
                    <m:d>
                      <m:dPr>
                        <m:begChr m:val="("/>
                        <m:endChr m:val=")"/>
                        <m:grow/>
                      </m:dPr>
                      <m:e>
                        <m:r>
                          <m:t>1</m:t>
                        </m:r>
                        <m:r>
                          <m:t>+</m:t>
                        </m:r>
                        <m:f>
                          <m:fPr>
                            <m:type m:val="bar"/>
                          </m:fPr>
                          <m:num>
                            <m:r>
                              <m:t>d</m:t>
                            </m:r>
                          </m:num>
                          <m:den>
                            <m:r>
                              <m:t>α</m:t>
                            </m:r>
                            <m:r>
                              <m:t>/</m:t>
                            </m:r>
                            <m:r>
                              <m:t>β</m:t>
                            </m:r>
                          </m:den>
                        </m:f>
                      </m:e>
                    </m:d>
                    <m:r>
                      <m:t>+</m:t>
                    </m:r>
                    <m:r>
                      <m:t>n</m:t>
                    </m:r>
                    <m:f>
                      <m:fPr>
                        <m:type m:val="bar"/>
                      </m:fPr>
                      <m:num>
                        <m:r>
                          <m:t>γ</m:t>
                        </m:r>
                      </m:num>
                      <m:den>
                        <m:r>
                          <m:t>α</m:t>
                        </m:r>
                      </m:den>
                    </m:f>
                    <m:r>
                      <m:t>(</m:t>
                    </m:r>
                    <m:r>
                      <m:t>d</m:t>
                    </m:r>
                    <m:r>
                      <m:t>−</m:t>
                    </m:r>
                    <m:sSub>
                      <m:e>
                        <m:r>
                          <m:t>d</m:t>
                        </m:r>
                      </m:e>
                      <m:sub>
                        <m:r>
                          <m:t>T</m:t>
                        </m:r>
                      </m:sub>
                    </m:sSub>
                    <m:r>
                      <m:t>)</m:t>
                    </m:r>
                  </m:e>
                  <m:e>
                    <m:r>
                      <m:rPr>
                        <m:sty m:val="p"/>
                      </m:rPr>
                      <m:t>for </m:t>
                    </m:r>
                    <m:r>
                      <m:t>d</m:t>
                    </m:r>
                    <m:r>
                      <m:t>≥</m:t>
                    </m:r>
                    <m:sSub>
                      <m:e>
                        <m:r>
                          <m:t>d</m:t>
                        </m:r>
                      </m:e>
                      <m:sub>
                        <m:r>
                          <m:t>T</m:t>
                        </m:r>
                      </m:sub>
                    </m:sSub>
                  </m:e>
                </m:mr>
              </m:m>
            </m:e>
          </m:d>
        </m:oMath>
      </m:oMathPara>
    </w:p>
    <w:p>
      <w:pPr>
        <w:pStyle w:val="FirstParagraph"/>
      </w:pPr>
      <w:r>
        <w:t xml:space="preserve">where</w:t>
      </w:r>
      <w:r>
        <w:t xml:space="preserve"> </w:t>
      </w:r>
      <m:oMath>
        <m:r>
          <m:t>γ</m:t>
        </m:r>
        <m:r>
          <m:t>/</m:t>
        </m:r>
        <m:r>
          <m:t>α</m:t>
        </m:r>
      </m:oMath>
      <w:r>
        <w:t xml:space="preserve"> </w:t>
      </w:r>
      <w:r>
        <w:t xml:space="preserve">can be described quantitatively as</w:t>
      </w:r>
      <w:r>
        <w:t xml:space="preserve"> </w:t>
      </w:r>
      <w:r>
        <w:rPr>
          <w:b/>
        </w:rPr>
        <w:t xml:space="preserve">[CHECK-what to ’name’ put here].</w:t>
      </w:r>
    </w:p>
    <w:p>
      <w:pPr>
        <w:pStyle w:val="BodyText"/>
      </w:pPr>
      <w:r>
        <w:t xml:space="preserve">We can rearrange Eq. ??? to obtain:</w:t>
      </w:r>
    </w:p>
    <w:p>
      <w:pPr>
        <w:pStyle w:val="BodyText"/>
      </w:pPr>
      <w:r>
        <w:t xml:space="preserve">$$\text{D} = \begin{cases}
    \frac{\text{BED}} {\large \left(1 + \frac{d}{\alpha/\beta}\right)} &amp; \text{for $d &lt; d_T$}  \\\\ 
    \frac{\text{BED}} {\large \left[ \frac{\gamma}{\alpha} + \frac{d_T^2}{d(\alpha/\beta)} + \frac{d_T}{d} - \frac{\gamma}{\alpha}\frac{d_T}{d} \right]} &amp;  \text{for $d \ge d_T$}
  \end{cases}$$</w:t>
      </w:r>
    </w:p>
    <w:p>
      <w:pPr>
        <w:pStyle w:val="FirstParagraph"/>
      </w:pPr>
      <w:r>
        <w:t xml:space="preserve">We can estimate the radiobiological model parameters,</w:t>
      </w:r>
      <w:r>
        <w:t xml:space="preserve"> </w:t>
      </w:r>
      <m:oMath>
        <m:r>
          <m:t>α</m:t>
        </m:r>
        <m:r>
          <m:t>/</m:t>
        </m:r>
        <m:r>
          <m:t>β</m:t>
        </m:r>
      </m:oMath>
      <w:r>
        <w:t xml:space="preserve">,</w:t>
      </w:r>
      <w:r>
        <w:t xml:space="preserve"> </w:t>
      </w:r>
      <m:oMath>
        <m:r>
          <m:t>γ</m:t>
        </m:r>
        <m:r>
          <m:t>/</m:t>
        </m:r>
        <m:r>
          <m:t>α</m:t>
        </m:r>
      </m:oMath>
      <w:r>
        <w:t xml:space="preserve">,</w:t>
      </w:r>
      <w:r>
        <w:t xml:space="preserve"> </w:t>
      </w:r>
      <m:oMath>
        <m:sSub>
          <m:e>
            <m:r>
              <m:t>d</m:t>
            </m:r>
          </m:e>
          <m:sub>
            <m:r>
              <m:t>T</m:t>
            </m:r>
          </m:sub>
        </m:sSub>
      </m:oMath>
      <w:r>
        <w:t xml:space="preserve"> </w:t>
      </w:r>
      <w:r>
        <w:t xml:space="preserve">and</w:t>
      </w:r>
      <w:r>
        <w:t xml:space="preserve"> </w:t>
      </w:r>
      <m:oMath>
        <m:r>
          <m:rPr>
            <m:sty m:val="p"/>
          </m:rPr>
          <m:t>BED</m:t>
        </m:r>
      </m:oMath>
      <w:r>
        <w:t xml:space="preserve"> </w:t>
      </w:r>
      <w:r>
        <w:t xml:space="preserve">from Eq. ???</w:t>
      </w:r>
      <w:r>
        <w:t xml:space="preserve"> </w:t>
      </w:r>
      <w:r>
        <w:t xml:space="preserve">when we plot of</w:t>
      </w:r>
      <w:r>
        <w:t xml:space="preserve"> </w:t>
      </w:r>
      <m:oMath>
        <m:r>
          <m:t>D</m:t>
        </m:r>
      </m:oMath>
      <w:r>
        <w:t xml:space="preserve"> </w:t>
      </w:r>
      <w:r>
        <w:t xml:space="preserve">(total dose) versus</w:t>
      </w:r>
      <w:r>
        <w:t xml:space="preserve"> </w:t>
      </w:r>
      <m:oMath>
        <m:r>
          <m:t>d</m:t>
        </m:r>
      </m:oMath>
      <w:r>
        <w:t xml:space="preserve"> </w:t>
      </w:r>
      <w:r>
        <w:t xml:space="preserve">(fractional dose). This curve is called an isoBED curve.</w:t>
      </w:r>
      <w:r>
        <w:t xml:space="preserve"> </w:t>
      </w:r>
      <w:r>
        <w:t xml:space="preserve">In this study we obtained these parameters for five different OARs, namely; spinal cord, brachial plexus, esophagus, rectum, duodenum and great vessels.</w:t>
      </w:r>
    </w:p>
    <w:p>
      <w:pPr>
        <w:pStyle w:val="BodyText"/>
      </w:pPr>
      <w:r>
        <w:t xml:space="preserve">We obtained clinical volume-dose constraint data from literature for these OARs from several sources such as TG101, The Quantitative Analysis of Normal Tissue Effects in the Clinic (QUANTEC), High Dose per Fraction, Hypofractionated Treatment Effects in the Clinic (HyTEC) and clinical trial database which corresponds to no grade</w:t>
      </w:r>
      <m:oMath>
        <m:r>
          <m:t>≥</m:t>
        </m:r>
      </m:oMath>
      <w:r>
        <w:t xml:space="preserve">3 toxicity of that particular organ.</w:t>
      </w:r>
    </w:p>
    <w:p>
      <w:pPr>
        <w:pStyle w:val="Heading1"/>
      </w:pPr>
      <w:bookmarkStart w:id="24" w:name="results-and-discussion"/>
      <w:bookmarkEnd w:id="24"/>
      <w:r>
        <w:t xml:space="preserve">Results and Discussion</w:t>
      </w:r>
    </w:p>
    <w:p>
      <w:pPr>
        <w:pStyle w:val="FigureWithCaption"/>
      </w:pPr>
      <w:r>
        <w:drawing>
          <wp:inline>
            <wp:extent cx="5334000" cy="1832556"/>
            <wp:effectExtent b="0" l="0" r="0" t="0"/>
            <wp:docPr descr="This is a caption " title="" id="1" name="Picture"/>
            <a:graphic>
              <a:graphicData uri="http://schemas.openxmlformats.org/drawingml/2006/picture">
                <pic:pic>
                  <pic:nvPicPr>
                    <pic:cNvPr descr="figures/1-Spinalcord-0-035cc-T-vs-d-new-inkscape/1-Spinalcord-0-035cc-T-vs-d-new-inkscape.png" id="0" name="Picture"/>
                    <pic:cNvPicPr>
                      <a:picLocks noChangeArrowheads="1" noChangeAspect="1"/>
                    </pic:cNvPicPr>
                  </pic:nvPicPr>
                  <pic:blipFill>
                    <a:blip r:embed="rId25"/>
                    <a:stretch>
                      <a:fillRect/>
                    </a:stretch>
                  </pic:blipFill>
                  <pic:spPr bwMode="auto">
                    <a:xfrm>
                      <a:off x="0" y="0"/>
                      <a:ext cx="5334000" cy="1832556"/>
                    </a:xfrm>
                    <a:prstGeom prst="rect">
                      <a:avLst/>
                    </a:prstGeom>
                    <a:noFill/>
                    <a:ln w="9525">
                      <a:noFill/>
                      <a:headEnd/>
                      <a:tailEnd/>
                    </a:ln>
                  </pic:spPr>
                </pic:pic>
              </a:graphicData>
            </a:graphic>
          </wp:inline>
        </w:drawing>
      </w:r>
    </w:p>
    <w:p>
      <w:pPr>
        <w:pStyle w:val="ImageCaption"/>
      </w:pPr>
      <w:r>
        <w:t xml:space="preserve">This is a caption</w:t>
      </w:r>
      <w:r>
        <w:t xml:space="preserve"> </w:t>
      </w:r>
    </w:p>
    <w:p>
      <w:pPr>
        <w:pStyle w:val="FigureWithCaption"/>
      </w:pPr>
      <w:r>
        <w:drawing>
          <wp:inline>
            <wp:extent cx="5334000" cy="1814755"/>
            <wp:effectExtent b="0" l="0" r="0" t="0"/>
            <wp:docPr descr="This is a caption " title="" id="1" name="Picture"/>
            <a:graphic>
              <a:graphicData uri="http://schemas.openxmlformats.org/drawingml/2006/picture">
                <pic:pic>
                  <pic:nvPicPr>
                    <pic:cNvPr descr="figures/1-Optical-Pathway-0-035cc-T-vs-d-new-inkscape/1-Optical-Pathway-0-035cc-T-vs-d-new-inkscape.png" id="0" name="Picture"/>
                    <pic:cNvPicPr>
                      <a:picLocks noChangeArrowheads="1" noChangeAspect="1"/>
                    </pic:cNvPicPr>
                  </pic:nvPicPr>
                  <pic:blipFill>
                    <a:blip r:embed="rId26"/>
                    <a:stretch>
                      <a:fillRect/>
                    </a:stretch>
                  </pic:blipFill>
                  <pic:spPr bwMode="auto">
                    <a:xfrm>
                      <a:off x="0" y="0"/>
                      <a:ext cx="5334000" cy="1814755"/>
                    </a:xfrm>
                    <a:prstGeom prst="rect">
                      <a:avLst/>
                    </a:prstGeom>
                    <a:noFill/>
                    <a:ln w="9525">
                      <a:noFill/>
                      <a:headEnd/>
                      <a:tailEnd/>
                    </a:ln>
                  </pic:spPr>
                </pic:pic>
              </a:graphicData>
            </a:graphic>
          </wp:inline>
        </w:drawing>
      </w:r>
    </w:p>
    <w:p>
      <w:pPr>
        <w:pStyle w:val="ImageCaption"/>
      </w:pPr>
      <w:r>
        <w:t xml:space="preserve">This is a caption</w:t>
      </w:r>
      <w:r>
        <w:t xml:space="preserve"> </w:t>
      </w:r>
    </w:p>
    <w:p>
      <w:pPr>
        <w:pStyle w:val="FigureWithCaption"/>
      </w:pPr>
      <w:r>
        <w:drawing>
          <wp:inline>
            <wp:extent cx="5334000" cy="1822928"/>
            <wp:effectExtent b="0" l="0" r="0" t="0"/>
            <wp:docPr descr="This is a caption " title="" id="1" name="Picture"/>
            <a:graphic>
              <a:graphicData uri="http://schemas.openxmlformats.org/drawingml/2006/picture">
                <pic:pic>
                  <pic:nvPicPr>
                    <pic:cNvPr descr="figures/1-Brainstem-0-035cc-T-vs-d-new-inkscape/1-Brainstem-0-035cc-T-vs-d-new-inkscape.png" id="0" name="Picture"/>
                    <pic:cNvPicPr>
                      <a:picLocks noChangeArrowheads="1" noChangeAspect="1"/>
                    </pic:cNvPicPr>
                  </pic:nvPicPr>
                  <pic:blipFill>
                    <a:blip r:embed="rId27"/>
                    <a:stretch>
                      <a:fillRect/>
                    </a:stretch>
                  </pic:blipFill>
                  <pic:spPr bwMode="auto">
                    <a:xfrm>
                      <a:off x="0" y="0"/>
                      <a:ext cx="5334000" cy="1822928"/>
                    </a:xfrm>
                    <a:prstGeom prst="rect">
                      <a:avLst/>
                    </a:prstGeom>
                    <a:noFill/>
                    <a:ln w="9525">
                      <a:noFill/>
                      <a:headEnd/>
                      <a:tailEnd/>
                    </a:ln>
                  </pic:spPr>
                </pic:pic>
              </a:graphicData>
            </a:graphic>
          </wp:inline>
        </w:drawing>
      </w:r>
    </w:p>
    <w:p>
      <w:pPr>
        <w:pStyle w:val="ImageCaption"/>
      </w:pPr>
      <w:r>
        <w:t xml:space="preserve">This is a caption</w:t>
      </w:r>
      <w:r>
        <w:t xml:space="preserve"> </w:t>
      </w:r>
    </w:p>
    <w:p>
      <w:pPr>
        <w:pStyle w:val="FigureWithCaption"/>
      </w:pPr>
      <w:r>
        <w:drawing>
          <wp:inline>
            <wp:extent cx="5334000" cy="1888117"/>
            <wp:effectExtent b="0" l="0" r="0" t="0"/>
            <wp:docPr descr="This is a caption " title="" id="1" name="Picture"/>
            <a:graphic>
              <a:graphicData uri="http://schemas.openxmlformats.org/drawingml/2006/picture">
                <pic:pic>
                  <pic:nvPicPr>
                    <pic:cNvPr descr="figures/1-Brachial-Plexus-0-035cc-T-vs-d-new-inkscape/1-Brachial-Plexus-0-035cc-T-vs-d-new-inkscape.png" id="0" name="Picture"/>
                    <pic:cNvPicPr>
                      <a:picLocks noChangeArrowheads="1" noChangeAspect="1"/>
                    </pic:cNvPicPr>
                  </pic:nvPicPr>
                  <pic:blipFill>
                    <a:blip r:embed="rId28"/>
                    <a:stretch>
                      <a:fillRect/>
                    </a:stretch>
                  </pic:blipFill>
                  <pic:spPr bwMode="auto">
                    <a:xfrm>
                      <a:off x="0" y="0"/>
                      <a:ext cx="5334000" cy="1888117"/>
                    </a:xfrm>
                    <a:prstGeom prst="rect">
                      <a:avLst/>
                    </a:prstGeom>
                    <a:noFill/>
                    <a:ln w="9525">
                      <a:noFill/>
                      <a:headEnd/>
                      <a:tailEnd/>
                    </a:ln>
                  </pic:spPr>
                </pic:pic>
              </a:graphicData>
            </a:graphic>
          </wp:inline>
        </w:drawing>
      </w:r>
    </w:p>
    <w:p>
      <w:pPr>
        <w:pStyle w:val="ImageCaption"/>
      </w:pPr>
      <w:r>
        <w:t xml:space="preserve">This is a caption</w:t>
      </w:r>
      <w:r>
        <w:t xml:space="preserve"> </w:t>
      </w:r>
    </w:p>
    <w:p>
      <w:pPr>
        <w:pStyle w:val="FigureWithCaption"/>
      </w:pPr>
      <w:r>
        <w:drawing>
          <wp:inline>
            <wp:extent cx="5334000" cy="1824297"/>
            <wp:effectExtent b="0" l="0" r="0" t="0"/>
            <wp:docPr descr="This is a caption " title="" id="1" name="Picture"/>
            <a:graphic>
              <a:graphicData uri="http://schemas.openxmlformats.org/drawingml/2006/picture">
                <pic:pic>
                  <pic:nvPicPr>
                    <pic:cNvPr descr="figures/1-Esophagus-0-035cc-T-vs-d-new-inkscape/1-Esophagus-0-035cc-T-vs-d-new-inkscape.png" id="0" name="Picture"/>
                    <pic:cNvPicPr>
                      <a:picLocks noChangeArrowheads="1" noChangeAspect="1"/>
                    </pic:cNvPicPr>
                  </pic:nvPicPr>
                  <pic:blipFill>
                    <a:blip r:embed="rId29"/>
                    <a:stretch>
                      <a:fillRect/>
                    </a:stretch>
                  </pic:blipFill>
                  <pic:spPr bwMode="auto">
                    <a:xfrm>
                      <a:off x="0" y="0"/>
                      <a:ext cx="5334000" cy="1824297"/>
                    </a:xfrm>
                    <a:prstGeom prst="rect">
                      <a:avLst/>
                    </a:prstGeom>
                    <a:noFill/>
                    <a:ln w="9525">
                      <a:noFill/>
                      <a:headEnd/>
                      <a:tailEnd/>
                    </a:ln>
                  </pic:spPr>
                </pic:pic>
              </a:graphicData>
            </a:graphic>
          </wp:inline>
        </w:drawing>
      </w:r>
    </w:p>
    <w:p>
      <w:pPr>
        <w:pStyle w:val="ImageCaption"/>
      </w:pPr>
      <w:r>
        <w:t xml:space="preserve">This is a caption</w:t>
      </w:r>
      <w:r>
        <w:t xml:space="preserve"> </w:t>
      </w:r>
    </w:p>
    <w:p>
      <w:pPr>
        <w:pStyle w:val="Heading1"/>
      </w:pPr>
      <w:bookmarkStart w:id="30" w:name="conclusion"/>
      <w:bookmarkEnd w:id="30"/>
      <w:r>
        <w:t xml:space="preserve">Conclusion</w:t>
      </w:r>
    </w:p>
    <w:p>
      <w:pPr>
        <w:pStyle w:val="FirstParagraph"/>
      </w:pPr>
      <w:r>
        <w:t xml:space="preserve">We developed a practical method to obtain organ-specific radiobiological model parameters from clinical data using LQ-L model.</w:t>
      </w:r>
      <w:r>
        <w:t xml:space="preserve"> </w:t>
      </w:r>
      <w:r>
        <w:t xml:space="preserve">These BED model parameters have shown to generate more clinically relevant model parameters for calculating BED distributions compared those extracted from cell line survival data.</w:t>
      </w:r>
      <w:r>
        <w:t xml:space="preserve"> </w:t>
      </w:r>
      <w:r>
        <w:t xml:space="preserve">The practicality of the parameters was demonstrated in creating composite plans for retreatment.</w:t>
      </w:r>
    </w:p>
    <w:p>
      <w:pPr>
        <w:pStyle w:val="Heading1"/>
      </w:pPr>
      <w:bookmarkStart w:id="31" w:name="acknowledgements"/>
      <w:bookmarkEnd w:id="31"/>
      <w:r>
        <w:t xml:space="preserve">Acknowledgements</w:t>
      </w:r>
    </w:p>
    <w:p>
      <w:pPr>
        <w:pStyle w:val="FirstParagraph"/>
      </w:pPr>
      <w:r>
        <w:t xml:space="preserve">This work is partially supported by Manteia Med.</w:t>
      </w:r>
    </w:p>
    <w:p>
      <w:pPr>
        <w:pStyle w:val="BodyText"/>
      </w:pPr>
      <w:r>
        <w:br w:type="textWrapping"/>
      </w:r>
      <w:r>
        <w:br w:type="textWrapping"/>
      </w:r>
      <w:r>
        <w:t xml:space="preserve">In Ref. (missing citation) it was found that hydrogen dimers in free electron gas (jellium) yields a constructive or destructive interference effects in</w:t>
      </w:r>
      <w:r>
        <w:t xml:space="preserve"> </w:t>
      </w:r>
      <m:oMath>
        <m:sSub>
          <m:e>
            <m:r>
              <m:t>S</m:t>
            </m:r>
          </m:e>
          <m:sub>
            <m:r>
              <m:t>e</m:t>
            </m:r>
          </m:sub>
        </m:sSub>
      </m:oMath>
      <w:r>
        <w:t xml:space="preserve"> </w:t>
      </w:r>
      <w:r>
        <w:t xml:space="preserve">depending on their kinetic energy arising from the combined dynamic screening of the two moving nuclei.</w:t>
      </w:r>
      <w:r>
        <w:t xml:space="preserve"> </w:t>
      </w:r>
      <w:r>
        <w:t xml:space="preserve">Their calculations show that the dimer whose symmetry axis is parallel to the velocity vector shows a much more interference effects than the dimer with perpendicular orientation due to the wake created by the proton traveling ahead.</w:t>
      </w:r>
      <w:r>
        <w:t xml:space="preserve"> </w:t>
      </w:r>
      <w:r>
        <w:t xml:space="preserve">A peculiarity of this behavior is observed for</w:t>
      </w:r>
      <w:r>
        <w:t xml:space="preserve"> </w:t>
      </w:r>
      <m:oMath>
        <m:r>
          <m:rPr>
            <m:sty m:val="p"/>
          </m:rPr>
          <m:t>L</m:t>
        </m:r>
        <m:r>
          <m:rPr>
            <m:sty m:val="p"/>
          </m:rPr>
          <m:t>i</m:t>
        </m:r>
        <m:r>
          <m:rPr>
            <m:sty m:val="p"/>
          </m:rPr>
          <m:t>H</m:t>
        </m:r>
      </m:oMath>
      <w:r>
        <w:t xml:space="preserve"> </w:t>
      </w:r>
      <w:r>
        <w:t xml:space="preserve">in free electron gas (missing citation), where the energy loss of the molecule is larger when jellium density decreases.</w:t>
      </w:r>
    </w:p>
    <w:p>
      <w:pPr>
        <w:pStyle w:val="Heading1"/>
      </w:pPr>
      <w:bookmarkStart w:id="32" w:name="references"/>
      <w:bookmarkEnd w:id="32"/>
      <w:r>
        <w:t xml:space="preserve">References</w:t>
      </w:r>
    </w:p>
    <w:p>
      <w:pPr>
        <w:pStyle w:val="FirstParagraph"/>
      </w:pPr>
      <w:r>
        <w:t xml:space="preserve">Hall, Eric J., and Amato J. Giaccia. 2018.</w:t>
      </w:r>
      <w:r>
        <w:t xml:space="preserve"> </w:t>
      </w:r>
      <w:r>
        <w:rPr>
          <w:i/>
        </w:rPr>
        <w:t xml:space="preserve">Radiobiology for the Radiologist</w:t>
      </w:r>
      <w:r>
        <w:t xml:space="preserve">. LWW; 8th edition.</w:t>
      </w:r>
    </w:p>
    <w:p>
      <w:pPr>
        <w:pStyle w:val="BodyText"/>
      </w:pPr>
      <w:r>
        <w:t xml:space="preserve">Fowler, J F. 2010.</w:t>
      </w:r>
      <w:r>
        <w:t xml:space="preserve"> </w:t>
      </w:r>
      <w:r>
        <w:t xml:space="preserve">“</w:t>
      </w:r>
      <w:r>
        <w:t xml:space="preserve">21 Years of Biologically Effective Dose</w:t>
      </w:r>
      <w:r>
        <w:t xml:space="preserve">”</w:t>
      </w:r>
      <w:r>
        <w:t xml:space="preserve">.</w:t>
      </w:r>
      <w:r>
        <w:t xml:space="preserve"> </w:t>
      </w:r>
      <w:r>
        <w:rPr>
          <w:i/>
        </w:rPr>
        <w:t xml:space="preserve">The British Journal of Radiology</w:t>
      </w:r>
      <w:r>
        <w:t xml:space="preserve"> </w:t>
      </w:r>
      <w:r>
        <w:t xml:space="preserve">83 (991): 554–68.</w:t>
      </w:r>
      <w:r>
        <w:t xml:space="preserve"> </w:t>
      </w:r>
      <w:hyperlink r:id="rId33">
        <w:r>
          <w:rPr>
            <w:rStyle w:val="Hyperlink"/>
          </w:rPr>
          <w:t xml:space="preserve">https://doi.org/10.1259/bjr/31372149.</w:t>
        </w:r>
      </w:hyperlink>
    </w:p>
    <w:p>
      <w:pPr>
        <w:pStyle w:val="BodyText"/>
      </w:pPr>
      <w:r>
        <w:t xml:space="preserve">Guerrero, M, and X Allen Li. 2004.</w:t>
      </w:r>
      <w:r>
        <w:t xml:space="preserve"> </w:t>
      </w:r>
      <w:r>
        <w:t xml:space="preserve">“</w:t>
      </w:r>
      <w:r>
        <w:t xml:space="preserve">Extending the LinearQuadratic Model for Large Fraction Doses Pertinent to Stereotactic Radiotherapy</w:t>
      </w:r>
      <w:r>
        <w:t xml:space="preserve">”</w:t>
      </w:r>
      <w:r>
        <w:t xml:space="preserve">.</w:t>
      </w:r>
      <w:r>
        <w:t xml:space="preserve"> </w:t>
      </w:r>
      <w:r>
        <w:rPr>
          <w:i/>
        </w:rPr>
        <w:t xml:space="preserve">Physics in Medicine and Biology</w:t>
      </w:r>
      <w:r>
        <w:t xml:space="preserve"> </w:t>
      </w:r>
      <w:r>
        <w:t xml:space="preserve">49 (20): 4825–35.</w:t>
      </w:r>
      <w:r>
        <w:t xml:space="preserve"> </w:t>
      </w:r>
      <w:hyperlink r:id="rId34">
        <w:r>
          <w:rPr>
            <w:rStyle w:val="Hyperlink"/>
          </w:rPr>
          <w:t xml:space="preserve">https://doi.org/10.1088/0031-9155/49/20/012.</w:t>
        </w:r>
      </w:hyperlink>
    </w:p>
    <w:p>
      <w:pPr>
        <w:pStyle w:val="BodyText"/>
      </w:pPr>
      <w:r>
        <w:t xml:space="preserve">Carlone, Marco, David Wilkins, and Peter Raaphorst. 2005.</w:t>
      </w:r>
      <w:r>
        <w:t xml:space="preserve"> </w:t>
      </w:r>
      <w:r>
        <w:t xml:space="preserve">“</w:t>
      </w:r>
      <w:r>
        <w:t xml:space="preserve">The Modified Linear-Quadratic Model of Guerrero and Li Can Be Derived from a Mechanistic Basis and Exhibits Linear-Quadratic-Linear Behaviour</w:t>
      </w:r>
      <w:r>
        <w:t xml:space="preserve">”</w:t>
      </w:r>
      <w:r>
        <w:t xml:space="preserve">.</w:t>
      </w:r>
      <w:r>
        <w:t xml:space="preserve"> </w:t>
      </w:r>
      <w:r>
        <w:rPr>
          <w:i/>
        </w:rPr>
        <w:t xml:space="preserve">Physics in Medicine and Biology</w:t>
      </w:r>
      <w:r>
        <w:t xml:space="preserve"> </w:t>
      </w:r>
      <w:r>
        <w:t xml:space="preserve">50 (10): L9–L13.</w:t>
      </w:r>
      <w:r>
        <w:t xml:space="preserve"> </w:t>
      </w:r>
      <w:hyperlink r:id="rId35">
        <w:r>
          <w:rPr>
            <w:rStyle w:val="Hyperlink"/>
          </w:rPr>
          <w:t xml:space="preserve">https://doi.org/10.1088/0031-9155/50/10/l01.</w:t>
        </w:r>
      </w:hyperlink>
    </w:p>
    <w:p>
      <w:pPr>
        <w:pStyle w:val="BodyText"/>
      </w:pPr>
      <w:r>
        <w:t xml:space="preserve">Park, Clint, Lech Papiez, Shichuan Zhang, Michael Story, and Robert D. Timmerman. 2008.</w:t>
      </w:r>
      <w:r>
        <w:t xml:space="preserve"> </w:t>
      </w:r>
      <w:r>
        <w:t xml:space="preserve">“</w:t>
      </w:r>
      <w:r>
        <w:t xml:space="preserve">Universal Survival Curve and Single Fraction Equivalent Dose: Useful Tools in Understanding Potency of Ablative Radiotherapy</w:t>
      </w:r>
      <w:r>
        <w:t xml:space="preserve">”</w:t>
      </w:r>
      <w:r>
        <w:t xml:space="preserve">.</w:t>
      </w:r>
      <w:r>
        <w:t xml:space="preserve"> </w:t>
      </w:r>
      <w:r>
        <w:rPr>
          <w:i/>
        </w:rPr>
        <w:t xml:space="preserve">International Journal of Radiation OncologyBiologyPhysics</w:t>
      </w:r>
      <w:r>
        <w:t xml:space="preserve"> </w:t>
      </w:r>
      <w:r>
        <w:t xml:space="preserve">70 (3): 847–52.</w:t>
      </w:r>
      <w:r>
        <w:t xml:space="preserve"> </w:t>
      </w:r>
      <w:hyperlink r:id="rId36">
        <w:r>
          <w:rPr>
            <w:rStyle w:val="Hyperlink"/>
          </w:rPr>
          <w:t xml:space="preserve">https://doi.org/10.1016/j.ijrobp.2007.10.059.</w:t>
        </w:r>
      </w:hyperlink>
    </w:p>
    <w:p>
      <w:pPr>
        <w:pStyle w:val="BodyText"/>
      </w:pPr>
      <w:r>
        <w:t xml:space="preserve">Astrahan, Melvin. 2008.</w:t>
      </w:r>
      <w:r>
        <w:t xml:space="preserve"> </w:t>
      </w:r>
      <w:r>
        <w:t xml:space="preserve">“</w:t>
      </w:r>
      <w:r>
        <w:t xml:space="preserve">Some Implications of Linear-Quadratic-Linear Radiation Dose-Response with Regard to Hypofractionation</w:t>
      </w:r>
      <w:r>
        <w:t xml:space="preserve">”</w:t>
      </w:r>
      <w:r>
        <w:t xml:space="preserve">.</w:t>
      </w:r>
      <w:r>
        <w:t xml:space="preserve"> </w:t>
      </w:r>
      <w:r>
        <w:rPr>
          <w:i/>
        </w:rPr>
        <w:t xml:space="preserve">Medical Physics</w:t>
      </w:r>
      <w:r>
        <w:t xml:space="preserve"> </w:t>
      </w:r>
      <w:r>
        <w:t xml:space="preserve">35 (9): 4161–72.</w:t>
      </w:r>
      <w:r>
        <w:t xml:space="preserve"> </w:t>
      </w:r>
      <w:hyperlink r:id="rId37">
        <w:r>
          <w:rPr>
            <w:rStyle w:val="Hyperlink"/>
          </w:rPr>
          <w:t xml:space="preserve">https://doi.org/10.1118/1.2969065.</w:t>
        </w:r>
      </w:hyperlink>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9e3d0b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8" Target="media/rId28.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26" Target="media/rId26.png" /><Relationship Type="http://schemas.openxmlformats.org/officeDocument/2006/relationships/image" Id="rId25" Target="media/rId25.png" /><Relationship Type="http://schemas.openxmlformats.org/officeDocument/2006/relationships/image" Id="rId22" Target="media/rId22.png" /><Relationship Type="http://schemas.openxmlformats.org/officeDocument/2006/relationships/hyperlink" Id="rId36" Target="https://doi.org/10.1016/j.ijrobp.2007.10.059." TargetMode="External" /><Relationship Type="http://schemas.openxmlformats.org/officeDocument/2006/relationships/hyperlink" Id="rId34" Target="https://doi.org/10.1088/0031-9155/49/20/012." TargetMode="External" /><Relationship Type="http://schemas.openxmlformats.org/officeDocument/2006/relationships/hyperlink" Id="rId35" Target="https://doi.org/10.1088/0031-9155/50/10/l01." TargetMode="External" /><Relationship Type="http://schemas.openxmlformats.org/officeDocument/2006/relationships/hyperlink" Id="rId37" Target="https://doi.org/10.1118/1.2969065." TargetMode="External" /><Relationship Type="http://schemas.openxmlformats.org/officeDocument/2006/relationships/hyperlink" Id="rId33" Target="https://doi.org/10.1259/bjr/31372149." TargetMode="External" /></Relationships>
</file>

<file path=word/_rels/footnotes.xml.rels><?xml version="1.0" encoding="UTF-8"?>
<Relationships xmlns="http://schemas.openxmlformats.org/package/2006/relationships"><Relationship Type="http://schemas.openxmlformats.org/officeDocument/2006/relationships/hyperlink" Id="rId36" Target="https://doi.org/10.1016/j.ijrobp.2007.10.059." TargetMode="External" /><Relationship Type="http://schemas.openxmlformats.org/officeDocument/2006/relationships/hyperlink" Id="rId34" Target="https://doi.org/10.1088/0031-9155/49/20/012." TargetMode="External" /><Relationship Type="http://schemas.openxmlformats.org/officeDocument/2006/relationships/hyperlink" Id="rId35" Target="https://doi.org/10.1088/0031-9155/50/10/l01." TargetMode="External" /><Relationship Type="http://schemas.openxmlformats.org/officeDocument/2006/relationships/hyperlink" Id="rId37" Target="https://doi.org/10.1118/1.2969065." TargetMode="External" /><Relationship Type="http://schemas.openxmlformats.org/officeDocument/2006/relationships/hyperlink" Id="rId33" Target="https://doi.org/10.1259/bjr/3137214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Extracting organ-specific radiobiological model  parameters from clinical data for radiation therapy planning of head and neck cancers</dc:title>
  <dc:creator>Edwin E. Quashie</dc:creator>
  <dcterms:created xsi:type="dcterms:W3CDTF">2022-05-20T15:15:38Z</dcterms:created>
  <dcterms:modified xsi:type="dcterms:W3CDTF">2022-05-20T15:15:38Z</dcterms:modified>
</cp:coreProperties>
</file>