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0.png" ContentType="image/png"/>
  <Override PartName="/word/media/rId42.png" ContentType="image/png"/>
  <Override PartName="/word/media/rId47.png" ContentType="image/png"/>
  <Override PartName="/word/media/rId50.png" ContentType="image/png"/>
  <Override PartName="/word/media/rId54.png" ContentType="image/png"/>
  <Override PartName="/word/media/rId59.png" ContentType="image/png"/>
  <Override PartName="/word/media/rId43.png" ContentType="image/png"/>
  <Override PartName="/word/media/rId44.png" ContentType="image/png"/>
  <Override PartName="/word/media/rId52.png" ContentType="image/png"/>
  <Override PartName="/word/media/rId53.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w:t>
      </w:r>
      <w:r>
        <w:t xml:space="preserve"> </w:t>
      </w:r>
      <w:r>
        <w:t xml:space="preserve">Observed</w:t>
      </w:r>
      <w:r>
        <w:t xml:space="preserve"> </w:t>
      </w:r>
      <w:r>
        <w:t xml:space="preserve">Synoptic</w:t>
      </w:r>
      <w:r>
        <w:t xml:space="preserve"> </w:t>
      </w:r>
      <w:r>
        <w:t xml:space="preserve">scale</w:t>
      </w:r>
      <w:r>
        <w:t xml:space="preserve"> </w:t>
      </w:r>
      <w:r>
        <w:t xml:space="preserve">precipitation</w:t>
      </w:r>
      <w:r>
        <w:t xml:space="preserve"> </w:t>
      </w:r>
      <w:r>
        <w:t xml:space="preserve">relationship</w:t>
      </w:r>
      <w:r>
        <w:t xml:space="preserve"> </w:t>
      </w:r>
      <w:r>
        <w:t xml:space="preserve">between</w:t>
      </w:r>
      <w:r>
        <w:t xml:space="preserve"> </w:t>
      </w:r>
      <w:r>
        <w:t xml:space="preserve">Western</w:t>
      </w:r>
      <w:r>
        <w:t xml:space="preserve"> </w:t>
      </w:r>
      <w:r>
        <w:t xml:space="preserve">Equatorial</w:t>
      </w:r>
      <w:r>
        <w:t xml:space="preserve"> </w:t>
      </w:r>
      <w:r>
        <w:t xml:space="preserve">Africa</w:t>
      </w:r>
      <w:r>
        <w:t xml:space="preserve"> </w:t>
      </w:r>
      <w:r>
        <w:t xml:space="preserve">and</w:t>
      </w:r>
      <w:r>
        <w:t xml:space="preserve"> </w:t>
      </w:r>
      <w:r>
        <w:t xml:space="preserve">Eastern</w:t>
      </w:r>
      <w:r>
        <w:t xml:space="preserve"> </w:t>
      </w:r>
      <w:r>
        <w:t xml:space="preserve">Equatorial</w:t>
      </w:r>
      <w:r>
        <w:t xml:space="preserve"> </w:t>
      </w:r>
      <w:r>
        <w:t xml:space="preserve">Africa</w:t>
      </w:r>
    </w:p>
    <w:p>
      <w:pPr>
        <w:pStyle w:val="Author"/>
      </w:pPr>
      <w:r>
        <w:t xml:space="preserve">Godwin</w:t>
      </w:r>
      <w:r>
        <w:t xml:space="preserve"> </w:t>
      </w:r>
      <w:r>
        <w:t xml:space="preserve">Ayesiga</w:t>
      </w:r>
    </w:p>
    <w:p>
      <w:pPr>
        <w:pStyle w:val="Author"/>
      </w:pPr>
      <w:r>
        <w:t xml:space="preserve">Christopher</w:t>
      </w:r>
      <w:r>
        <w:t xml:space="preserve"> </w:t>
      </w:r>
      <w:r>
        <w:t xml:space="preserve">E.</w:t>
      </w:r>
      <w:r>
        <w:t xml:space="preserve"> </w:t>
      </w:r>
      <w:r>
        <w:t xml:space="preserve">Holloway</w:t>
      </w:r>
    </w:p>
    <w:p>
      <w:pPr>
        <w:pStyle w:val="Author"/>
      </w:pPr>
      <w:r>
        <w:t xml:space="preserve">Charles</w:t>
      </w:r>
      <w:r>
        <w:t xml:space="preserve"> </w:t>
      </w:r>
      <w:r>
        <w:t xml:space="preserve">JR.</w:t>
      </w:r>
      <w:r>
        <w:t xml:space="preserve"> </w:t>
      </w:r>
      <w:r>
        <w:t xml:space="preserve">Williams</w:t>
      </w:r>
    </w:p>
    <w:p>
      <w:pPr>
        <w:pStyle w:val="Author"/>
      </w:pPr>
      <w:r>
        <w:t xml:space="preserve">Gui-Ying</w:t>
      </w:r>
      <w:r>
        <w:t xml:space="preserve"> </w:t>
      </w:r>
      <w:r>
        <w:t xml:space="preserve">Yang</w:t>
      </w:r>
    </w:p>
    <w:p>
      <w:pPr>
        <w:pStyle w:val="Author"/>
      </w:pPr>
      <w:r>
        <w:t xml:space="preserve">Samantha</w:t>
      </w:r>
      <w:r>
        <w:t xml:space="preserve"> </w:t>
      </w:r>
      <w:r>
        <w:t xml:space="preserve">Ferrett</w:t>
      </w:r>
    </w:p>
    <w:p>
      <w:pPr>
        <w:pStyle w:val="Abstract"/>
      </w:pPr>
      <w:r>
        <w:t xml:space="preserve">An</w:t>
      </w:r>
      <w:r>
        <w:t xml:space="preserve"> </w:t>
      </w:r>
      <w:r>
        <w:t xml:space="preserve">improvement</w:t>
      </w:r>
      <w:r>
        <w:t xml:space="preserve"> </w:t>
      </w:r>
      <w:r>
        <w:t xml:space="preserve">to</w:t>
      </w:r>
      <w:r>
        <w:t xml:space="preserve"> </w:t>
      </w:r>
      <w:r>
        <w:t xml:space="preserve">subseasonal</w:t>
      </w:r>
      <w:r>
        <w:t xml:space="preserve"> </w:t>
      </w:r>
      <w:r>
        <w:t xml:space="preserve">(i.e.</w:t>
      </w:r>
      <w:r>
        <w:t xml:space="preserve"> </w:t>
      </w:r>
      <w:r>
        <w:t xml:space="preserve">days</w:t>
      </w:r>
      <w:r>
        <w:t xml:space="preserve"> </w:t>
      </w:r>
      <w:r>
        <w:t xml:space="preserve">to</w:t>
      </w:r>
      <w:r>
        <w:t xml:space="preserve"> </w:t>
      </w:r>
      <w:r>
        <w:t xml:space="preserve">weeks)</w:t>
      </w:r>
      <w:r>
        <w:t xml:space="preserve"> </w:t>
      </w:r>
      <w:r>
        <w:t xml:space="preserve">rainfall</w:t>
      </w:r>
      <w:r>
        <w:t xml:space="preserve"> </w:t>
      </w:r>
      <w:r>
        <w:t xml:space="preserve">prediction</w:t>
      </w:r>
      <w:r>
        <w:t xml:space="preserve"> </w:t>
      </w:r>
      <w:r>
        <w:t xml:space="preserve">across</w:t>
      </w:r>
      <w:r>
        <w:t xml:space="preserve"> </w:t>
      </w:r>
      <w:r>
        <w:t xml:space="preserve">Equatorial</w:t>
      </w:r>
      <w:r>
        <w:t xml:space="preserve"> </w:t>
      </w:r>
      <w:r>
        <w:t xml:space="preserve">Africa</w:t>
      </w:r>
      <w:r>
        <w:t xml:space="preserve"> </w:t>
      </w:r>
      <w:r>
        <w:t xml:space="preserve">is</w:t>
      </w:r>
      <w:r>
        <w:t xml:space="preserve"> </w:t>
      </w:r>
      <w:r>
        <w:t xml:space="preserve">an</w:t>
      </w:r>
      <w:r>
        <w:t xml:space="preserve"> </w:t>
      </w:r>
      <w:r>
        <w:t xml:space="preserve">important</w:t>
      </w:r>
      <w:r>
        <w:t xml:space="preserve"> </w:t>
      </w:r>
      <w:r>
        <w:t xml:space="preserve">area</w:t>
      </w:r>
      <w:r>
        <w:t xml:space="preserve"> </w:t>
      </w:r>
      <w:r>
        <w:t xml:space="preserve">of</w:t>
      </w:r>
      <w:r>
        <w:t xml:space="preserve"> </w:t>
      </w:r>
      <w:r>
        <w:t xml:space="preserve">current</w:t>
      </w:r>
      <w:r>
        <w:t xml:space="preserve"> </w:t>
      </w:r>
      <w:r>
        <w:t xml:space="preserve">research</w:t>
      </w:r>
      <w:r>
        <w:t xml:space="preserve"> </w:t>
      </w:r>
      <w:r>
        <w:t xml:space="preserve">because</w:t>
      </w:r>
      <w:r>
        <w:t xml:space="preserve"> </w:t>
      </w:r>
      <w:r>
        <w:t xml:space="preserve">most</w:t>
      </w:r>
      <w:r>
        <w:t xml:space="preserve"> </w:t>
      </w:r>
      <w:r>
        <w:t xml:space="preserve">countries</w:t>
      </w:r>
      <w:r>
        <w:t xml:space="preserve"> </w:t>
      </w:r>
      <w:r>
        <w:t xml:space="preserve">there</w:t>
      </w:r>
      <w:r>
        <w:t xml:space="preserve"> </w:t>
      </w:r>
      <w:r>
        <w:t xml:space="preserve">are</w:t>
      </w:r>
      <w:r>
        <w:t xml:space="preserve"> </w:t>
      </w:r>
      <w:r>
        <w:t xml:space="preserve">highly</w:t>
      </w:r>
      <w:r>
        <w:t xml:space="preserve"> </w:t>
      </w:r>
      <w:r>
        <w:t xml:space="preserve">dependent</w:t>
      </w:r>
      <w:r>
        <w:t xml:space="preserve"> </w:t>
      </w:r>
      <w:r>
        <w:t xml:space="preserve">on</w:t>
      </w:r>
      <w:r>
        <w:t xml:space="preserve"> </w:t>
      </w:r>
      <w:r>
        <w:t xml:space="preserve">rain-fed</w:t>
      </w:r>
      <w:r>
        <w:t xml:space="preserve"> </w:t>
      </w:r>
      <w:r>
        <w:t xml:space="preserve">agriculture,</w:t>
      </w:r>
      <w:r>
        <w:t xml:space="preserve"> </w:t>
      </w:r>
      <w:r>
        <w:t xml:space="preserve">with</w:t>
      </w:r>
      <w:r>
        <w:t xml:space="preserve"> </w:t>
      </w:r>
      <w:r>
        <w:t xml:space="preserve">millions</w:t>
      </w:r>
      <w:r>
        <w:t xml:space="preserve"> </w:t>
      </w:r>
      <w:r>
        <w:t xml:space="preserve">of</w:t>
      </w:r>
      <w:r>
        <w:t xml:space="preserve"> </w:t>
      </w:r>
      <w:r>
        <w:t xml:space="preserve">livelihoods</w:t>
      </w:r>
      <w:r>
        <w:t xml:space="preserve"> </w:t>
      </w:r>
      <w:r>
        <w:t xml:space="preserve">at</w:t>
      </w:r>
      <w:r>
        <w:t xml:space="preserve"> </w:t>
      </w:r>
      <w:r>
        <w:t xml:space="preserve">risk</w:t>
      </w:r>
      <w:r>
        <w:t xml:space="preserve"> </w:t>
      </w:r>
      <w:r>
        <w:t xml:space="preserve">in</w:t>
      </w:r>
      <w:r>
        <w:t xml:space="preserve"> </w:t>
      </w:r>
      <w:r>
        <w:t xml:space="preserve">the</w:t>
      </w:r>
      <w:r>
        <w:t xml:space="preserve"> </w:t>
      </w:r>
      <w:r>
        <w:t xml:space="preserve">event</w:t>
      </w:r>
      <w:r>
        <w:t xml:space="preserve"> </w:t>
      </w:r>
      <w:r>
        <w:t xml:space="preserve">of</w:t>
      </w:r>
      <w:r>
        <w:t xml:space="preserve"> </w:t>
      </w:r>
      <w:r>
        <w:t xml:space="preserve">an</w:t>
      </w:r>
      <w:r>
        <w:t xml:space="preserve"> </w:t>
      </w:r>
      <w:r>
        <w:t xml:space="preserve">unexpected</w:t>
      </w:r>
      <w:r>
        <w:t xml:space="preserve"> </w:t>
      </w:r>
      <w:r>
        <w:t xml:space="preserve">harvest</w:t>
      </w:r>
      <w:r>
        <w:t xml:space="preserve"> </w:t>
      </w:r>
      <w:r>
        <w:t xml:space="preserve">failure. </w:t>
      </w:r>
      <w:r>
        <w:t xml:space="preserve"> </w:t>
      </w:r>
      <w:r>
        <w:t xml:space="preserve">This</w:t>
      </w:r>
      <w:r>
        <w:t xml:space="preserve"> </w:t>
      </w:r>
      <w:r>
        <w:t xml:space="preserve">study</w:t>
      </w:r>
      <w:r>
        <w:t xml:space="preserve"> </w:t>
      </w:r>
      <w:r>
        <w:t xml:space="preserve">examines</w:t>
      </w:r>
      <w:r>
        <w:t xml:space="preserve"> </w:t>
      </w:r>
      <w:r>
        <w:t xml:space="preserve">16</w:t>
      </w:r>
      <w:r>
        <w:t xml:space="preserve"> </w:t>
      </w:r>
      <w:r>
        <w:t xml:space="preserve">years</w:t>
      </w:r>
      <w:r>
        <w:t xml:space="preserve"> </w:t>
      </w:r>
      <w:r>
        <w:t xml:space="preserve">of</w:t>
      </w:r>
      <w:r>
        <w:t xml:space="preserve"> </w:t>
      </w:r>
      <w:r>
        <w:t xml:space="preserve">daily</w:t>
      </w:r>
      <w:r>
        <w:t xml:space="preserve"> </w:t>
      </w:r>
      <w:r>
        <w:t xml:space="preserve">precipitation</w:t>
      </w:r>
      <w:r>
        <w:t xml:space="preserve"> </w:t>
      </w:r>
      <w:r>
        <w:t xml:space="preserve">anomalies</w:t>
      </w:r>
      <w:r>
        <w:t xml:space="preserve"> </w:t>
      </w:r>
      <w:r>
        <w:t xml:space="preserve">to</w:t>
      </w:r>
      <w:r>
        <w:t xml:space="preserve"> </w:t>
      </w:r>
      <w:r>
        <w:t xml:space="preserve">investigate</w:t>
      </w:r>
      <w:r>
        <w:t xml:space="preserve"> </w:t>
      </w:r>
      <w:r>
        <w:t xml:space="preserve">the</w:t>
      </w:r>
      <w:r>
        <w:t xml:space="preserve"> </w:t>
      </w:r>
      <w:r>
        <w:t xml:space="preserve">relationship</w:t>
      </w:r>
      <w:r>
        <w:t xml:space="preserve"> </w:t>
      </w:r>
      <w:r>
        <w:t xml:space="preserve">in</w:t>
      </w:r>
      <w:r>
        <w:t xml:space="preserve"> </w:t>
      </w:r>
      <w:r>
        <w:t xml:space="preserve">precipitation between</w:t>
      </w:r>
      <w:r>
        <w:t xml:space="preserve"> </w:t>
      </w:r>
      <w:r>
        <w:t xml:space="preserve">Western</w:t>
      </w:r>
      <w:r>
        <w:t xml:space="preserve"> </w:t>
      </w:r>
      <w:r>
        <w:t xml:space="preserve">Equatorial</w:t>
      </w:r>
      <w:r>
        <w:t xml:space="preserve"> </w:t>
      </w:r>
      <w:r>
        <w:t xml:space="preserve">Africa</w:t>
      </w:r>
      <w:r>
        <w:t xml:space="preserve"> </w:t>
      </w:r>
      <w:r>
        <w:t xml:space="preserve">(WEA)</w:t>
      </w:r>
      <w:r>
        <w:t xml:space="preserve"> </w:t>
      </w:r>
      <w:r>
        <w:t xml:space="preserve">and</w:t>
      </w:r>
      <w:r>
        <w:t xml:space="preserve"> </w:t>
      </w:r>
      <w:r>
        <w:t xml:space="preserve">Eastern</w:t>
      </w:r>
      <w:r>
        <w:t xml:space="preserve"> </w:t>
      </w:r>
      <w:r>
        <w:t xml:space="preserve">Equatorial</w:t>
      </w:r>
      <w:r>
        <w:t xml:space="preserve"> </w:t>
      </w:r>
      <w:r>
        <w:t xml:space="preserve">Africa</w:t>
      </w:r>
      <w:r>
        <w:t xml:space="preserve"> </w:t>
      </w:r>
      <w:r>
        <w:t xml:space="preserve">(EEA).</w:t>
      </w:r>
      <w:r>
        <w:t xml:space="preserve"> </w:t>
      </w:r>
      <w:r>
        <w:t xml:space="preserve">Using</w:t>
      </w:r>
      <w:r>
        <w:t xml:space="preserve"> </w:t>
      </w:r>
      <w:r>
        <w:t xml:space="preserve">lead/lag correlation</w:t>
      </w:r>
      <w:r>
        <w:t xml:space="preserve"> </w:t>
      </w:r>
      <w:r>
        <w:t xml:space="preserve">and</w:t>
      </w:r>
      <w:r>
        <w:t xml:space="preserve"> </w:t>
      </w:r>
      <w:r>
        <w:t xml:space="preserve">spatio-temporal</w:t>
      </w:r>
      <w:r>
        <w:t xml:space="preserve"> </w:t>
      </w:r>
      <w:r>
        <w:t xml:space="preserve">correlation</w:t>
      </w:r>
      <w:r>
        <w:t xml:space="preserve"> </w:t>
      </w:r>
      <w:r>
        <w:t xml:space="preserve">patterns</w:t>
      </w:r>
      <w:r>
        <w:t xml:space="preserve"> </w:t>
      </w:r>
      <w:r>
        <w:t xml:space="preserve">over</w:t>
      </w:r>
      <w:r>
        <w:t xml:space="preserve"> </w:t>
      </w:r>
      <w:r>
        <w:t xml:space="preserve">various</w:t>
      </w:r>
      <w:r>
        <w:t xml:space="preserve"> </w:t>
      </w:r>
      <w:r>
        <w:t xml:space="preserve">sub-regions,</w:t>
      </w:r>
      <w:r>
        <w:t xml:space="preserve"> </w:t>
      </w:r>
      <w:r>
        <w:t xml:space="preserve">a</w:t>
      </w:r>
      <w:r>
        <w:t xml:space="preserve"> </w:t>
      </w:r>
      <w:r>
        <w:t xml:space="preserve">synoptic-scale relationship</w:t>
      </w:r>
      <w:r>
        <w:t xml:space="preserve"> </w:t>
      </w:r>
      <w:r>
        <w:t xml:space="preserve">in</w:t>
      </w:r>
      <w:r>
        <w:t xml:space="preserve"> </w:t>
      </w:r>
      <w:r>
        <w:t xml:space="preserve">precipitation</w:t>
      </w:r>
      <w:r>
        <w:t xml:space="preserve"> </w:t>
      </w:r>
      <w:r>
        <w:t xml:space="preserve">is</w:t>
      </w:r>
      <w:r>
        <w:t xml:space="preserve"> </w:t>
      </w:r>
      <w:r>
        <w:t xml:space="preserve">presented</w:t>
      </w:r>
      <w:r>
        <w:t xml:space="preserve"> </w:t>
      </w:r>
      <w:r>
        <w:t xml:space="preserve">between</w:t>
      </w:r>
      <w:r>
        <w:t xml:space="preserve"> </w:t>
      </w:r>
      <w:r>
        <w:t xml:space="preserve">WEA</w:t>
      </w:r>
      <w:r>
        <w:t xml:space="preserve"> </w:t>
      </w:r>
      <w:r>
        <w:t xml:space="preserve">and</w:t>
      </w:r>
      <w:r>
        <w:t xml:space="preserve"> </w:t>
      </w:r>
      <w:r>
        <w:t xml:space="preserve">EEA</w:t>
      </w:r>
      <w:r>
        <w:t xml:space="preserve"> </w:t>
      </w:r>
      <w:r>
        <w:t xml:space="preserve">in</w:t>
      </w:r>
      <w:r>
        <w:t xml:space="preserve"> </w:t>
      </w:r>
      <w:r>
        <w:t xml:space="preserve">which</w:t>
      </w:r>
      <w:r>
        <w:t xml:space="preserve"> </w:t>
      </w:r>
      <w:r>
        <w:t xml:space="preserve">precipitation</w:t>
      </w:r>
      <w:r>
        <w:t xml:space="preserve"> </w:t>
      </w:r>
      <w:r>
        <w:t xml:space="preserve">over</w:t>
      </w:r>
      <w:r>
        <w:t xml:space="preserve"> </w:t>
      </w:r>
      <w:r>
        <w:t xml:space="preserve">EEA</w:t>
      </w:r>
      <w:r>
        <w:t xml:space="preserve"> </w:t>
      </w:r>
      <w:r>
        <w:t xml:space="preserve">lags</w:t>
      </w:r>
      <w:r>
        <w:t xml:space="preserve"> </w:t>
      </w:r>
      <w:r>
        <w:t xml:space="preserve">precipitation</w:t>
      </w:r>
      <w:r>
        <w:t xml:space="preserve"> </w:t>
      </w:r>
      <w:r>
        <w:t xml:space="preserve">over WEA</w:t>
      </w:r>
      <w:r>
        <w:t xml:space="preserve"> </w:t>
      </w:r>
      <w:r>
        <w:t xml:space="preserve">by</w:t>
      </w:r>
      <w:r>
        <w:t xml:space="preserve"> </w:t>
      </w:r>
      <w:r>
        <w:t xml:space="preserve">1-2</w:t>
      </w:r>
      <w:r>
        <w:t xml:space="preserve"> </w:t>
      </w:r>
      <w:r>
        <w:t xml:space="preserve">days.</w:t>
      </w:r>
      <w:r>
        <w:t xml:space="preserve"> </w:t>
      </w:r>
      <w:r>
        <w:t xml:space="preserve">In</w:t>
      </w:r>
      <w:r>
        <w:t xml:space="preserve"> </w:t>
      </w:r>
      <w:r>
        <w:t xml:space="preserve">addition,</w:t>
      </w:r>
      <w:r>
        <w:t xml:space="preserve"> </w:t>
      </w:r>
      <w:r>
        <w:t xml:space="preserve">central</w:t>
      </w:r>
      <w:r>
        <w:t xml:space="preserve"> </w:t>
      </w:r>
      <w:r>
        <w:t xml:space="preserve">WEA</w:t>
      </w:r>
      <w:r>
        <w:t xml:space="preserve"> </w:t>
      </w:r>
      <w:r>
        <w:t xml:space="preserve">and</w:t>
      </w:r>
      <w:r>
        <w:t xml:space="preserve"> </w:t>
      </w:r>
      <w:r>
        <w:t xml:space="preserve">sub-regions</w:t>
      </w:r>
      <w:r>
        <w:t xml:space="preserve"> </w:t>
      </w:r>
      <w:r>
        <w:t xml:space="preserve">in</w:t>
      </w:r>
      <w:r>
        <w:t xml:space="preserve"> </w:t>
      </w:r>
      <w:r>
        <w:t xml:space="preserve">the</w:t>
      </w:r>
      <w:r>
        <w:t xml:space="preserve"> </w:t>
      </w:r>
      <w:r>
        <w:t xml:space="preserve">Sudan</w:t>
      </w:r>
      <w:r>
        <w:t xml:space="preserve"> </w:t>
      </w:r>
      <w:r>
        <w:t xml:space="preserve">highlands</w:t>
      </w:r>
      <w:r>
        <w:t xml:space="preserve"> </w:t>
      </w:r>
      <w:r>
        <w:t xml:space="preserve">display</w:t>
      </w:r>
      <w:r>
        <w:t xml:space="preserve"> </w:t>
      </w:r>
      <w:r>
        <w:t xml:space="preserve">a</w:t>
      </w:r>
      <w:r>
        <w:t xml:space="preserve"> </w:t>
      </w:r>
      <w:r>
        <w:t xml:space="preserve">synoptic-timescale precipitation</w:t>
      </w:r>
      <w:r>
        <w:t xml:space="preserve"> </w:t>
      </w:r>
      <w:r>
        <w:t xml:space="preserve">contrast,</w:t>
      </w:r>
      <w:r>
        <w:t xml:space="preserve"> </w:t>
      </w:r>
      <w:r>
        <w:t xml:space="preserve">suggesting</w:t>
      </w:r>
      <w:r>
        <w:t xml:space="preserve"> </w:t>
      </w:r>
      <w:r>
        <w:t xml:space="preserve">a</w:t>
      </w:r>
      <w:r>
        <w:t xml:space="preserve"> </w:t>
      </w:r>
      <w:r>
        <w:t xml:space="preserve">weak</w:t>
      </w:r>
      <w:r>
        <w:t xml:space="preserve"> </w:t>
      </w:r>
      <w:r>
        <w:t xml:space="preserve">precipitation</w:t>
      </w:r>
      <w:r>
        <w:t xml:space="preserve"> </w:t>
      </w:r>
      <w:r>
        <w:t xml:space="preserve">dipole.</w:t>
      </w:r>
      <w:r>
        <w:t xml:space="preserve"> </w:t>
      </w:r>
      <w:r>
        <w:t xml:space="preserve">Consistent</w:t>
      </w:r>
      <w:r>
        <w:t xml:space="preserve"> </w:t>
      </w:r>
      <w:r>
        <w:t xml:space="preserve">with</w:t>
      </w:r>
      <w:r>
        <w:t xml:space="preserve"> </w:t>
      </w:r>
      <w:r>
        <w:t xml:space="preserve">the</w:t>
      </w:r>
      <w:r>
        <w:t xml:space="preserve"> </w:t>
      </w:r>
      <w:r>
        <w:t xml:space="preserve">known</w:t>
      </w:r>
      <w:r>
        <w:t xml:space="preserve"> </w:t>
      </w:r>
      <w:r>
        <w:t xml:space="preserve">heterogeneity</w:t>
      </w:r>
      <w:r>
        <w:t xml:space="preserve"> </w:t>
      </w:r>
      <w:r>
        <w:t xml:space="preserve">characteristic of</w:t>
      </w:r>
      <w:r>
        <w:t xml:space="preserve"> </w:t>
      </w:r>
      <w:r>
        <w:t xml:space="preserve">Equatorial</w:t>
      </w:r>
      <w:r>
        <w:t xml:space="preserve"> </w:t>
      </w:r>
      <w:r>
        <w:t xml:space="preserve">Africa’s</w:t>
      </w:r>
      <w:r>
        <w:t xml:space="preserve"> </w:t>
      </w:r>
      <w:r>
        <w:t xml:space="preserve">precipitation,</w:t>
      </w:r>
      <w:r>
        <w:t xml:space="preserve"> </w:t>
      </w:r>
      <w:r>
        <w:t xml:space="preserve">our</w:t>
      </w:r>
      <w:r>
        <w:t xml:space="preserve"> </w:t>
      </w:r>
      <w:r>
        <w:t xml:space="preserve">findings</w:t>
      </w:r>
      <w:r>
        <w:t xml:space="preserve"> </w:t>
      </w:r>
      <w:r>
        <w:t xml:space="preserve">suggest</w:t>
      </w:r>
      <w:r>
        <w:t xml:space="preserve"> </w:t>
      </w:r>
      <w:r>
        <w:t xml:space="preserve">that</w:t>
      </w:r>
      <w:r>
        <w:t xml:space="preserve"> </w:t>
      </w:r>
      <w:r>
        <w:t xml:space="preserve">the</w:t>
      </w:r>
      <w:r>
        <w:t xml:space="preserve"> </w:t>
      </w:r>
      <w:r>
        <w:t xml:space="preserve">1-2</w:t>
      </w:r>
      <w:r>
        <w:t xml:space="preserve"> </w:t>
      </w:r>
      <w:r>
        <w:t xml:space="preserve">day</w:t>
      </w:r>
      <w:r>
        <w:t xml:space="preserve"> </w:t>
      </w:r>
      <w:r>
        <w:t xml:space="preserve">precipitation relationship</w:t>
      </w:r>
      <w:r>
        <w:t xml:space="preserve"> </w:t>
      </w:r>
      <w:r>
        <w:t xml:space="preserve">is</w:t>
      </w:r>
      <w:r>
        <w:t xml:space="preserve"> </w:t>
      </w:r>
      <w:r>
        <w:t xml:space="preserve">dependent</w:t>
      </w:r>
      <w:r>
        <w:t xml:space="preserve"> </w:t>
      </w:r>
      <w:r>
        <w:t xml:space="preserve">upon</w:t>
      </w:r>
      <w:r>
        <w:t xml:space="preserve"> </w:t>
      </w:r>
      <w:r>
        <w:t xml:space="preserve">the</w:t>
      </w:r>
      <w:r>
        <w:t xml:space="preserve"> </w:t>
      </w:r>
      <w:r>
        <w:t xml:space="preserve">sub-region</w:t>
      </w:r>
      <w:r>
        <w:t xml:space="preserve"> </w:t>
      </w:r>
      <w:r>
        <w:t xml:space="preserve">under</w:t>
      </w:r>
      <w:r>
        <w:t xml:space="preserve"> </w:t>
      </w:r>
      <w:r>
        <w:t xml:space="preserve">investigation.  </w:t>
      </w:r>
    </w:p>
    <w:p>
      <w:pPr>
        <w:pStyle w:val="Abstract"/>
      </w:pPr>
      <w:r>
        <w:t xml:space="preserve"> </w:t>
      </w:r>
    </w:p>
    <w:p>
      <w:pPr>
        <w:pStyle w:val="Abstract"/>
      </w:pPr>
      <w:r>
        <w:t xml:space="preserve">Furthermore,</w:t>
      </w:r>
      <w:r>
        <w:t xml:space="preserve"> </w:t>
      </w:r>
      <w:r>
        <w:t xml:space="preserve">our</w:t>
      </w:r>
      <w:r>
        <w:t xml:space="preserve"> </w:t>
      </w:r>
      <w:r>
        <w:t xml:space="preserve">results</w:t>
      </w:r>
      <w:r>
        <w:t xml:space="preserve"> </w:t>
      </w:r>
      <w:r>
        <w:t xml:space="preserve">indicate</w:t>
      </w:r>
      <w:r>
        <w:t xml:space="preserve"> </w:t>
      </w:r>
      <w:r>
        <w:t xml:space="preserve">a</w:t>
      </w:r>
      <w:r>
        <w:t xml:space="preserve"> </w:t>
      </w:r>
      <w:r>
        <w:t xml:space="preserve">coherent</w:t>
      </w:r>
      <w:r>
        <w:t xml:space="preserve"> </w:t>
      </w:r>
      <w:r>
        <w:t xml:space="preserve">synoptic-timescale</w:t>
      </w:r>
      <w:r>
        <w:t xml:space="preserve"> </w:t>
      </w:r>
      <w:r>
        <w:t xml:space="preserve">eastward/northeastward</w:t>
      </w:r>
      <w:r>
        <w:t xml:space="preserve"> </w:t>
      </w:r>
      <w:r>
        <w:t xml:space="preserve">propagating</w:t>
      </w:r>
      <w:r>
        <w:t xml:space="preserve"> </w:t>
      </w:r>
      <w:r>
        <w:t xml:space="preserve">signal</w:t>
      </w:r>
      <w:r>
        <w:t xml:space="preserve"> </w:t>
      </w:r>
      <w:r>
        <w:t xml:space="preserve">with</w:t>
      </w:r>
      <w:r>
        <w:t xml:space="preserve"> </w:t>
      </w:r>
      <w:r>
        <w:t xml:space="preserve">a</w:t>
      </w:r>
      <w:r>
        <w:t xml:space="preserve"> </w:t>
      </w:r>
      <w:r>
        <w:t xml:space="preserve">speed</w:t>
      </w:r>
      <w:r>
        <w:t xml:space="preserve"> </w:t>
      </w:r>
      <w:r>
        <w:t xml:space="preserve">of</w:t>
      </w:r>
      <w:r>
        <w:t xml:space="preserve"> </w:t>
      </w:r>
      <w:r>
        <w:t xml:space="preserve">approximately</w:t>
      </w:r>
      <w:r>
        <w:t xml:space="preserve"> </w:t>
      </w:r>
      <w:r>
        <w:t xml:space="preserve">12</w:t>
      </w:r>
      <w:r>
        <w:t xml:space="preserve"> </w:t>
      </w:r>
      <w:r>
        <w:t xml:space="preserve">m</w:t>
      </w:r>
      <w:r>
        <w:t xml:space="preserve"> </w:t>
      </w:r>
      <w:r>
        <w:t xml:space="preserve">s</w:t>
      </w:r>
      <w:r>
        <w:rPr>
          <w:vertAlign w:val="superscript"/>
        </w:rPr>
        <w:t xml:space="preserve">-1</w:t>
      </w:r>
      <w:r>
        <w:t xml:space="preserve">.</w:t>
      </w:r>
      <w:r>
        <w:t xml:space="preserve"> </w:t>
      </w:r>
      <w:r>
        <w:t xml:space="preserve">Composite</w:t>
      </w:r>
      <w:r>
        <w:t xml:space="preserve"> </w:t>
      </w:r>
      <w:r>
        <w:t xml:space="preserve">and</w:t>
      </w:r>
      <w:r>
        <w:t xml:space="preserve"> </w:t>
      </w:r>
      <w:r>
        <w:t xml:space="preserve">correlation</w:t>
      </w:r>
      <w:r>
        <w:t xml:space="preserve"> </w:t>
      </w:r>
      <w:r>
        <w:t xml:space="preserve">analyses</w:t>
      </w:r>
      <w:r>
        <w:t xml:space="preserve"> </w:t>
      </w:r>
      <w:r>
        <w:t xml:space="preserve">of</w:t>
      </w:r>
      <w:r>
        <w:t xml:space="preserve"> </w:t>
      </w:r>
      <w:r>
        <w:t xml:space="preserve">precipitation</w:t>
      </w:r>
      <w:r>
        <w:t xml:space="preserve"> </w:t>
      </w:r>
      <w:r>
        <w:t xml:space="preserve">anomalies and</w:t>
      </w:r>
      <w:r>
        <w:t xml:space="preserve"> </w:t>
      </w:r>
      <w:r>
        <w:t xml:space="preserve">a</w:t>
      </w:r>
      <w:r>
        <w:t xml:space="preserve"> </w:t>
      </w:r>
      <w:r>
        <w:t xml:space="preserve">novel</w:t>
      </w:r>
      <w:r>
        <w:t xml:space="preserve"> </w:t>
      </w:r>
      <w:r>
        <w:t xml:space="preserve">equatorial</w:t>
      </w:r>
      <w:r>
        <w:t xml:space="preserve"> </w:t>
      </w:r>
      <w:r>
        <w:t xml:space="preserve">wave</w:t>
      </w:r>
      <w:r>
        <w:t xml:space="preserve"> </w:t>
      </w:r>
      <w:r>
        <w:t xml:space="preserve">dataset</w:t>
      </w:r>
      <w:r>
        <w:t xml:space="preserve"> </w:t>
      </w:r>
      <w:r>
        <w:t xml:space="preserve">show</w:t>
      </w:r>
      <w:r>
        <w:t xml:space="preserve"> </w:t>
      </w:r>
      <w:r>
        <w:t xml:space="preserve">an</w:t>
      </w:r>
      <w:r>
        <w:t xml:space="preserve"> </w:t>
      </w:r>
      <w:r>
        <w:t xml:space="preserve">apparent</w:t>
      </w:r>
      <w:r>
        <w:t xml:space="preserve"> </w:t>
      </w:r>
      <w:r>
        <w:t xml:space="preserve">connection</w:t>
      </w:r>
      <w:r>
        <w:t xml:space="preserve"> </w:t>
      </w:r>
      <w:r>
        <w:t xml:space="preserve">between</w:t>
      </w:r>
      <w:r>
        <w:t xml:space="preserve"> </w:t>
      </w:r>
      <w:r>
        <w:t xml:space="preserve">eastward/northeastward</w:t>
      </w:r>
      <w:r>
        <w:t xml:space="preserve"> </w:t>
      </w:r>
      <w:r>
        <w:t xml:space="preserve">propagating wet</w:t>
      </w:r>
      <w:r>
        <w:t xml:space="preserve"> </w:t>
      </w:r>
      <w:r>
        <w:t xml:space="preserve">anomalies</w:t>
      </w:r>
      <w:r>
        <w:t xml:space="preserve"> </w:t>
      </w:r>
      <w:r>
        <w:t xml:space="preserve">and</w:t>
      </w:r>
      <w:r>
        <w:t xml:space="preserve"> </w:t>
      </w:r>
      <w:r>
        <w:t xml:space="preserve">Kelvin</w:t>
      </w:r>
      <w:r>
        <w:t xml:space="preserve"> </w:t>
      </w:r>
      <w:r>
        <w:t xml:space="preserve">wave</w:t>
      </w:r>
      <w:r>
        <w:t xml:space="preserve"> </w:t>
      </w:r>
      <w:r>
        <w:t xml:space="preserve">lower-tropospheric</w:t>
      </w:r>
      <w:r>
        <w:t xml:space="preserve"> </w:t>
      </w:r>
      <w:r>
        <w:t xml:space="preserve">convergence.</w:t>
      </w:r>
      <w:r>
        <w:t xml:space="preserve"> </w:t>
      </w:r>
      <w:r>
        <w:t xml:space="preserve">This</w:t>
      </w:r>
      <w:r>
        <w:t xml:space="preserve"> </w:t>
      </w:r>
      <w:r>
        <w:t xml:space="preserve">suggests</w:t>
      </w:r>
      <w:r>
        <w:t xml:space="preserve"> </w:t>
      </w:r>
      <w:r>
        <w:t xml:space="preserve">that</w:t>
      </w:r>
      <w:r>
        <w:t xml:space="preserve"> </w:t>
      </w:r>
      <w:r>
        <w:t xml:space="preserve">Convectively Coupled</w:t>
      </w:r>
      <w:r>
        <w:t xml:space="preserve"> </w:t>
      </w:r>
      <w:r>
        <w:t xml:space="preserve">Kelvin</w:t>
      </w:r>
      <w:r>
        <w:t xml:space="preserve"> </w:t>
      </w:r>
      <w:r>
        <w:t xml:space="preserve">Waves</w:t>
      </w:r>
      <w:r>
        <w:t xml:space="preserve"> </w:t>
      </w:r>
      <w:r>
        <w:t xml:space="preserve">(CCKWs)</w:t>
      </w:r>
      <w:r>
        <w:t xml:space="preserve"> </w:t>
      </w:r>
      <w:r>
        <w:t xml:space="preserve">play</w:t>
      </w:r>
      <w:r>
        <w:t xml:space="preserve"> </w:t>
      </w:r>
      <w:r>
        <w:t xml:space="preserve">a</w:t>
      </w:r>
      <w:r>
        <w:t xml:space="preserve"> </w:t>
      </w:r>
      <w:r>
        <w:t xml:space="preserve">role</w:t>
      </w:r>
      <w:r>
        <w:t xml:space="preserve"> </w:t>
      </w:r>
      <w:r>
        <w:t xml:space="preserve">in</w:t>
      </w:r>
      <w:r>
        <w:t xml:space="preserve"> </w:t>
      </w:r>
      <w:r>
        <w:t xml:space="preserve">modulating</w:t>
      </w:r>
      <w:r>
        <w:t xml:space="preserve"> </w:t>
      </w:r>
      <w:r>
        <w:t xml:space="preserve">the</w:t>
      </w:r>
      <w:r>
        <w:t xml:space="preserve"> </w:t>
      </w:r>
      <w:r>
        <w:t xml:space="preserve">1-2</w:t>
      </w:r>
      <w:r>
        <w:t xml:space="preserve"> </w:t>
      </w:r>
      <w:r>
        <w:t xml:space="preserve">day</w:t>
      </w:r>
      <w:r>
        <w:t xml:space="preserve"> </w:t>
      </w:r>
      <w:r>
        <w:t xml:space="preserve">convection</w:t>
      </w:r>
      <w:r>
        <w:t xml:space="preserve"> </w:t>
      </w:r>
      <w:r>
        <w:t xml:space="preserve">and</w:t>
      </w:r>
      <w:r>
        <w:t xml:space="preserve"> </w:t>
      </w:r>
      <w:r>
        <w:t xml:space="preserve">precipitation</w:t>
      </w:r>
      <w:r>
        <w:t xml:space="preserve"> </w:t>
      </w:r>
      <w:r>
        <w:t xml:space="preserve">oscillation between</w:t>
      </w:r>
      <w:r>
        <w:t xml:space="preserve"> </w:t>
      </w:r>
      <w:r>
        <w:t xml:space="preserve">EEA</w:t>
      </w:r>
      <w:r>
        <w:t xml:space="preserve"> </w:t>
      </w:r>
      <w:r>
        <w:t xml:space="preserve">and</w:t>
      </w:r>
      <w:r>
        <w:t xml:space="preserve"> </w:t>
      </w:r>
      <w:r>
        <w:t xml:space="preserve">WEA.</w:t>
      </w:r>
      <w:r>
        <w:t xml:space="preserve"> </w:t>
      </w:r>
      <w:r>
        <w:t xml:space="preserve">These</w:t>
      </w:r>
      <w:r>
        <w:t xml:space="preserve"> </w:t>
      </w:r>
      <w:r>
        <w:t xml:space="preserve">results</w:t>
      </w:r>
      <w:r>
        <w:t xml:space="preserve"> </w:t>
      </w:r>
      <w:r>
        <w:t xml:space="preserve">imply</w:t>
      </w:r>
      <w:r>
        <w:t xml:space="preserve"> </w:t>
      </w:r>
      <w:r>
        <w:t xml:space="preserve">that</w:t>
      </w:r>
      <w:r>
        <w:t xml:space="preserve"> </w:t>
      </w:r>
      <w:r>
        <w:t xml:space="preserve">monitoring</w:t>
      </w:r>
      <w:r>
        <w:t xml:space="preserve"> </w:t>
      </w:r>
      <w:r>
        <w:t xml:space="preserve">the</w:t>
      </w:r>
      <w:r>
        <w:t xml:space="preserve"> </w:t>
      </w:r>
      <w:r>
        <w:t xml:space="preserve">propagation</w:t>
      </w:r>
      <w:r>
        <w:t xml:space="preserve"> </w:t>
      </w:r>
      <w:r>
        <w:t xml:space="preserve">characteristics</w:t>
      </w:r>
      <w:r>
        <w:t xml:space="preserve"> </w:t>
      </w:r>
      <w:r>
        <w:t xml:space="preserve">of CCKWs</w:t>
      </w:r>
      <w:r>
        <w:t xml:space="preserve"> </w:t>
      </w:r>
      <w:r>
        <w:t xml:space="preserve">may</w:t>
      </w:r>
      <w:r>
        <w:t xml:space="preserve"> </w:t>
      </w:r>
      <w:r>
        <w:t xml:space="preserve">be</w:t>
      </w:r>
      <w:r>
        <w:t xml:space="preserve"> </w:t>
      </w:r>
      <w:r>
        <w:t xml:space="preserve">important</w:t>
      </w:r>
      <w:r>
        <w:t xml:space="preserve"> </w:t>
      </w:r>
      <w:r>
        <w:t xml:space="preserve">in</w:t>
      </w:r>
      <w:r>
        <w:t xml:space="preserve"> </w:t>
      </w:r>
      <w:r>
        <w:t xml:space="preserve">synoptic-timescale</w:t>
      </w:r>
      <w:r>
        <w:t xml:space="preserve"> </w:t>
      </w:r>
      <w:r>
        <w:t xml:space="preserve">forecasting</w:t>
      </w:r>
      <w:r>
        <w:t xml:space="preserve"> </w:t>
      </w:r>
      <w:r>
        <w:t xml:space="preserve">over</w:t>
      </w:r>
      <w:r>
        <w:t xml:space="preserve"> </w:t>
      </w:r>
      <w:r>
        <w:t xml:space="preserve">Equatorial</w:t>
      </w:r>
      <w:r>
        <w:t xml:space="preserve"> </w:t>
      </w:r>
      <w:r>
        <w:t xml:space="preserve">Africa.</w:t>
      </w:r>
    </w:p>
    <w:p>
      <w:pPr>
        <w:pStyle w:val="FirstParagraph"/>
      </w:pPr>
      <w:r>
        <w:rPr>
          <w:b/>
        </w:rPr>
        <w:t xml:space="preserve">Keywords</w:t>
      </w:r>
      <w:r>
        <w:t xml:space="preserve"> </w:t>
      </w:r>
      <w:r>
        <w:t xml:space="preserve">— Western Equatorial Africa, Eastern Equatorial</w:t>
      </w:r>
      <w:r>
        <w:t xml:space="preserve"> </w:t>
      </w:r>
      <w:r>
        <w:t xml:space="preserve">Africa, Precipitation, Kelvin wave</w:t>
      </w:r>
    </w:p>
    <w:p>
      <w:pPr>
        <w:pStyle w:val="BodyText"/>
      </w:pPr>
      <w:r>
        <w:br w:type="textWrapping"/>
      </w:r>
      <w:r>
        <w:br w:type="textWrapping"/>
      </w:r>
    </w:p>
    <w:p>
      <w:pPr>
        <w:pStyle w:val="Heading1"/>
      </w:pPr>
      <w:bookmarkStart w:id="21" w:name="introduction"/>
      <w:bookmarkEnd w:id="21"/>
      <w:r>
        <w:t xml:space="preserve">Introduction</w:t>
      </w:r>
    </w:p>
    <w:p>
      <w:pPr>
        <w:pStyle w:val="FirstParagraph"/>
      </w:pPr>
      <w:r>
        <w:br w:type="textWrapping"/>
      </w:r>
      <w:r>
        <w:t xml:space="preserve">Short-to-medium-range convective rainfall variability has a direct</w:t>
      </w:r>
      <w:r>
        <w:t xml:space="preserve"> </w:t>
      </w:r>
      <w:r>
        <w:t xml:space="preserve">influence on rain-fed agricultural productivity because it determines</w:t>
      </w:r>
      <w:r>
        <w:t xml:space="preserve"> </w:t>
      </w:r>
      <w:r>
        <w:t xml:space="preserve">the amount of available soil moisture (Black et al., 2016) as well as the</w:t>
      </w:r>
      <w:r>
        <w:t xml:space="preserve"> </w:t>
      </w:r>
      <w:r>
        <w:t xml:space="preserve">frequency of replenishing surface and underground water for</w:t>
      </w:r>
      <w:r>
        <w:t xml:space="preserve"> </w:t>
      </w:r>
      <w:r>
        <w:t xml:space="preserve">production (Taylor et al., 2019). However, extreme precipitation events are</w:t>
      </w:r>
      <w:r>
        <w:t xml:space="preserve"> </w:t>
      </w:r>
      <w:r>
        <w:t xml:space="preserve">likely to cause destructive flooding and landslides; therefore, to</w:t>
      </w:r>
      <w:r>
        <w:t xml:space="preserve"> </w:t>
      </w:r>
      <w:r>
        <w:t xml:space="preserve">minimise loss of life and livelihoods, it is important to develop robust</w:t>
      </w:r>
      <w:r>
        <w:t xml:space="preserve"> </w:t>
      </w:r>
      <w:r>
        <w:t xml:space="preserve">forecasting systems for various timescales (Ongoma et al., 2018). In most</w:t>
      </w:r>
      <w:r>
        <w:t xml:space="preserve"> </w:t>
      </w:r>
      <w:r>
        <w:t xml:space="preserve">countries in Equatorial Africa, however, the reliability of short-term</w:t>
      </w:r>
      <w:r>
        <w:t xml:space="preserve"> </w:t>
      </w:r>
      <w:r>
        <w:t xml:space="preserve">forecasts depends on experts’ ability to extrapolate the prevailing</w:t>
      </w:r>
      <w:r>
        <w:t xml:space="preserve"> </w:t>
      </w:r>
      <w:r>
        <w:t xml:space="preserve">conditions as well as interpretation of forecast maps from global</w:t>
      </w:r>
      <w:r>
        <w:t xml:space="preserve"> </w:t>
      </w:r>
      <w:r>
        <w:t xml:space="preserve">forecast centres (Graham et al., 2015). This implies that the methods used</w:t>
      </w:r>
      <w:r>
        <w:t xml:space="preserve"> </w:t>
      </w:r>
      <w:r>
        <w:t xml:space="preserve">to generate reliable forecasts with sufficient lead time are still</w:t>
      </w:r>
      <w:r>
        <w:t xml:space="preserve"> </w:t>
      </w:r>
      <w:r>
        <w:t xml:space="preserve">rudimentary. Due to the multi-spatial and temporal interaction of key</w:t>
      </w:r>
      <w:r>
        <w:t xml:space="preserve"> </w:t>
      </w:r>
      <w:r>
        <w:t xml:space="preserve">drivers of convection and precipitation variability, building</w:t>
      </w:r>
      <w:r>
        <w:t xml:space="preserve"> </w:t>
      </w:r>
      <w:r>
        <w:t xml:space="preserve">reliable and accurate forecast systems for Equatorial Africa (defined</w:t>
      </w:r>
      <w:r>
        <w:t xml:space="preserve"> </w:t>
      </w:r>
      <w:r>
        <w:t xml:space="preserve">here as 15</w:t>
      </w:r>
      <w:r>
        <w:rPr>
          <w:vertAlign w:val="superscript"/>
        </w:rPr>
        <w:t xml:space="preserve">o</w:t>
      </w:r>
      <w:r>
        <w:t xml:space="preserve">S – 15</w:t>
      </w:r>
      <w:r>
        <w:rPr>
          <w:vertAlign w:val="superscript"/>
        </w:rPr>
        <w:t xml:space="preserve">o</w:t>
      </w:r>
      <w:r>
        <w:t xml:space="preserve">N,</w:t>
      </w:r>
      <w:r>
        <w:t xml:space="preserve"> </w:t>
      </w:r>
      <w:r>
        <w:t xml:space="preserve">8</w:t>
      </w:r>
      <w:r>
        <w:rPr>
          <w:vertAlign w:val="superscript"/>
        </w:rPr>
        <w:t xml:space="preserve">o</w:t>
      </w:r>
      <w:r>
        <w:t xml:space="preserve">E – 51</w:t>
      </w:r>
      <w:r>
        <w:rPr>
          <w:vertAlign w:val="superscript"/>
        </w:rPr>
        <w:t xml:space="preserve">o</w:t>
      </w:r>
      <w:r>
        <w:t xml:space="preserve">E) is one challenge the</w:t>
      </w:r>
      <w:r>
        <w:t xml:space="preserve"> </w:t>
      </w:r>
      <w:r>
        <w:t xml:space="preserve">present scientific community is facing.  </w:t>
      </w:r>
    </w:p>
    <w:p>
      <w:pPr>
        <w:pStyle w:val="BodyText"/>
      </w:pPr>
      <w:r>
        <w:br w:type="textWrapping"/>
      </w:r>
      <w:r>
        <w:t xml:space="preserve">The rainfall characteristics in Equatorial Africa are strongly</w:t>
      </w:r>
      <w:r>
        <w:t xml:space="preserve"> </w:t>
      </w:r>
      <w:r>
        <w:t xml:space="preserve">influenced by the north-south migration of the Inter-Tropical</w:t>
      </w:r>
      <w:r>
        <w:t xml:space="preserve"> </w:t>
      </w:r>
      <w:r>
        <w:t xml:space="preserve">Convergence Zone (ITCZ).  Given that the ITCZ crosses the equator twice</w:t>
      </w:r>
      <w:r>
        <w:t xml:space="preserve"> </w:t>
      </w:r>
      <w:r>
        <w:t xml:space="preserve">in a year, most areas in Equatorial Africa experience a bimodal rainfall</w:t>
      </w:r>
      <w:r>
        <w:t xml:space="preserve"> </w:t>
      </w:r>
      <w:r>
        <w:t xml:space="preserve">cycle. Within each season, the interaction between large-scale tropical</w:t>
      </w:r>
      <w:r>
        <w:t xml:space="preserve"> </w:t>
      </w:r>
      <w:r>
        <w:t xml:space="preserve">drivers, regional and local precipitation processes, and a complex</w:t>
      </w:r>
      <w:r>
        <w:t xml:space="preserve"> </w:t>
      </w:r>
      <w:r>
        <w:t xml:space="preserve">topography makes precipitation variability profoundly</w:t>
      </w:r>
      <w:r>
        <w:t xml:space="preserve"> </w:t>
      </w:r>
      <w:r>
        <w:t xml:space="preserve">heterogeneous (Nicholson, 2011) and complex to forecast. Because of</w:t>
      </w:r>
      <w:r>
        <w:t xml:space="preserve"> </w:t>
      </w:r>
      <w:r>
        <w:t xml:space="preserve">this heterogeneity of precipitation over Equatorial Africa, previous</w:t>
      </w:r>
      <w:r>
        <w:t xml:space="preserve"> </w:t>
      </w:r>
      <w:r>
        <w:t xml:space="preserve">studies have delineated their areas of study into smaller</w:t>
      </w:r>
      <w:r>
        <w:t xml:space="preserve"> </w:t>
      </w:r>
      <w:r>
        <w:t xml:space="preserve">sub-regions  (Indeje et al., 2000; Pohl and Camberlin, 2006; Dezfuli, 2011). This study takes a unique approach of</w:t>
      </w:r>
      <w:r>
        <w:t xml:space="preserve"> </w:t>
      </w:r>
      <w:r>
        <w:t xml:space="preserve">objectively identifying small sub-regions that are characterised by</w:t>
      </w:r>
      <w:r>
        <w:t xml:space="preserve"> </w:t>
      </w:r>
      <w:r>
        <w:t xml:space="preserve">similar daily precipitation variability.</w:t>
      </w:r>
    </w:p>
    <w:p>
      <w:pPr>
        <w:pStyle w:val="BodyText"/>
      </w:pPr>
      <w:r>
        <w:br w:type="textWrapping"/>
      </w:r>
      <w:r>
        <w:t xml:space="preserve">Precipitation in Equatorial Africa is dominated by convective systems of</w:t>
      </w:r>
      <w:r>
        <w:t xml:space="preserve"> </w:t>
      </w:r>
      <w:r>
        <w:t xml:space="preserve">various spatial and temporal scales. A large proportion of tropical</w:t>
      </w:r>
      <w:r>
        <w:t xml:space="preserve"> </w:t>
      </w:r>
      <w:r>
        <w:t xml:space="preserve">precipitation (and convection) is strongly controlled by large-scale</w:t>
      </w:r>
      <w:r>
        <w:t xml:space="preserve"> </w:t>
      </w:r>
      <w:r>
        <w:t xml:space="preserve">tropical disturbances (Kiladis et al., 2009). Despite the suggested vital</w:t>
      </w:r>
      <w:r>
        <w:t xml:space="preserve"> </w:t>
      </w:r>
      <w:r>
        <w:t xml:space="preserve">role of large-scale tropical disturbances in modulating convective</w:t>
      </w:r>
      <w:r>
        <w:t xml:space="preserve"> </w:t>
      </w:r>
      <w:r>
        <w:t xml:space="preserve">activity and precipitation in Equatorial Africa, relatively few studies</w:t>
      </w:r>
      <w:r>
        <w:t xml:space="preserve"> </w:t>
      </w:r>
      <w:r>
        <w:t xml:space="preserve">have been done to enhance our understanding of how the local</w:t>
      </w:r>
      <w:r>
        <w:t xml:space="preserve"> </w:t>
      </w:r>
      <w:r>
        <w:t xml:space="preserve">precipitation regime responds to large-scale forcing.</w:t>
      </w:r>
    </w:p>
    <w:p>
      <w:pPr>
        <w:pStyle w:val="BodyText"/>
      </w:pPr>
      <w:r>
        <w:br w:type="textWrapping"/>
      </w:r>
      <w:r>
        <w:t xml:space="preserve">One of the major steps in improving short-to-medium-range forecasting is</w:t>
      </w:r>
      <w:r>
        <w:t xml:space="preserve"> </w:t>
      </w:r>
      <w:r>
        <w:t xml:space="preserve">enhancing our knowledge on the role of synoptic scale disturbances in</w:t>
      </w:r>
      <w:r>
        <w:t xml:space="preserve"> </w:t>
      </w:r>
      <w:r>
        <w:t xml:space="preserve">modulating convective activity and associated precipitation. The major</w:t>
      </w:r>
      <w:r>
        <w:t xml:space="preserve"> </w:t>
      </w:r>
      <w:r>
        <w:t xml:space="preserve">synoptic-scale disturbances in the tropics include Kelvin</w:t>
      </w:r>
      <w:r>
        <w:t xml:space="preserve"> </w:t>
      </w:r>
      <w:r>
        <w:t xml:space="preserve">waves (Gill, 1980),  Equatorial Rossby waves (ERWs), Eastward and</w:t>
      </w:r>
      <w:r>
        <w:t xml:space="preserve"> </w:t>
      </w:r>
      <w:r>
        <w:t xml:space="preserve">Westward Inertio-Gravity waves (EIGs and WIGs), Mixed Rossby-gravity</w:t>
      </w:r>
      <w:r>
        <w:t xml:space="preserve"> </w:t>
      </w:r>
      <w:r>
        <w:t xml:space="preserve">waves (MRGs) (Matsuno, 1966; Wheeler and Kiladis, 1999) and easterly</w:t>
      </w:r>
      <w:r>
        <w:t xml:space="preserve"> </w:t>
      </w:r>
      <w:r>
        <w:t xml:space="preserve">waves (Reed et al., 1977). These synoptic-scale disturbances influence</w:t>
      </w:r>
      <w:r>
        <w:t xml:space="preserve"> </w:t>
      </w:r>
      <w:r>
        <w:t xml:space="preserve">convection and precipitation by significantly perturbing the basic state</w:t>
      </w:r>
      <w:r>
        <w:t xml:space="preserve"> </w:t>
      </w:r>
      <w:r>
        <w:t xml:space="preserve">of atmospheric fields such as pressure, temperature and wind. The</w:t>
      </w:r>
      <w:r>
        <w:t xml:space="preserve"> </w:t>
      </w:r>
      <w:r>
        <w:t xml:space="preserve">resulting latent heat released by the deep convection associated with</w:t>
      </w:r>
      <w:r>
        <w:t xml:space="preserve"> </w:t>
      </w:r>
      <w:r>
        <w:t xml:space="preserve">the perturbed fields can cause the generation of new equatorial</w:t>
      </w:r>
      <w:r>
        <w:t xml:space="preserve"> </w:t>
      </w:r>
      <w:r>
        <w:t xml:space="preserve">waves (Lindzen, 2003). As a wave propagates, it interacts with</w:t>
      </w:r>
      <w:r>
        <w:t xml:space="preserve"> </w:t>
      </w:r>
      <w:r>
        <w:t xml:space="preserve">convection through, for example, enhancing low-level moisture</w:t>
      </w:r>
      <w:r>
        <w:t xml:space="preserve"> </w:t>
      </w:r>
      <w:r>
        <w:t xml:space="preserve">flux  (Mekonnen et al., 2008; Sinclaire et al., 2015), and this may cause a variation in its speed</w:t>
      </w:r>
      <w:r>
        <w:t xml:space="preserve"> </w:t>
      </w:r>
      <w:r>
        <w:t xml:space="preserve">of propagation. Previous studies such</w:t>
      </w:r>
      <w:r>
        <w:t xml:space="preserve"> </w:t>
      </w:r>
      <w:r>
        <w:t xml:space="preserve">as  </w:t>
      </w:r>
      <w:hyperlink r:id="rId22">
        <w:r>
          <w:rPr>
            <w:rStyle w:val="Hyperlink"/>
          </w:rPr>
          <w:t xml:space="preserve">Wheeler</w:t>
        </w:r>
        <w:r>
          <w:rPr>
            <w:rStyle w:val="Hyperlink"/>
          </w:rPr>
          <w:t xml:space="preserve"> </w:t>
        </w:r>
        <w:r>
          <w:rPr>
            <w:rStyle w:val="Hyperlink"/>
          </w:rPr>
          <w:t xml:space="preserve">et al. (2004)</w:t>
        </w:r>
      </w:hyperlink>
      <w:r>
        <w:t xml:space="preserve">,</w:t>
      </w:r>
      <w:r>
        <w:t xml:space="preserve"> </w:t>
      </w:r>
      <w:r>
        <w:t xml:space="preserve"> </w:t>
      </w:r>
      <w:hyperlink r:id="rId22">
        <w:r>
          <w:rPr>
            <w:rStyle w:val="Hyperlink"/>
          </w:rPr>
          <w:t xml:space="preserve">Ventrice</w:t>
        </w:r>
        <w:r>
          <w:rPr>
            <w:rStyle w:val="Hyperlink"/>
          </w:rPr>
          <w:t xml:space="preserve"> </w:t>
        </w:r>
        <w:r>
          <w:rPr>
            <w:rStyle w:val="Hyperlink"/>
          </w:rPr>
          <w:t xml:space="preserve">et al.</w:t>
        </w:r>
        <w:r>
          <w:rPr>
            <w:rStyle w:val="Hyperlink"/>
          </w:rPr>
          <w:t xml:space="preserve"> </w:t>
        </w:r>
        <w:r>
          <w:rPr>
            <w:rStyle w:val="Hyperlink"/>
          </w:rPr>
          <w:t xml:space="preserve">(2012)</w:t>
        </w:r>
      </w:hyperlink>
      <w:r>
        <w:t xml:space="preserve">,  </w:t>
      </w:r>
      <w:hyperlink r:id="rId22">
        <w:r>
          <w:rPr>
            <w:rStyle w:val="Hyperlink"/>
          </w:rPr>
          <w:t xml:space="preserve">Mekonnen</w:t>
        </w:r>
        <w:r>
          <w:rPr>
            <w:rStyle w:val="Hyperlink"/>
          </w:rPr>
          <w:t xml:space="preserve"> </w:t>
        </w:r>
        <w:r>
          <w:rPr>
            <w:rStyle w:val="Hyperlink"/>
          </w:rPr>
          <w:t xml:space="preserve">et al. (2016)</w:t>
        </w:r>
      </w:hyperlink>
      <w:r>
        <w:t xml:space="preserve">, </w:t>
      </w:r>
      <w:r>
        <w:t xml:space="preserve"> </w:t>
      </w:r>
      <w:r>
        <w:t xml:space="preserve">and </w:t>
      </w:r>
      <w:hyperlink r:id="rId22">
        <w:r>
          <w:rPr>
            <w:rStyle w:val="Hyperlink"/>
          </w:rPr>
          <w:t xml:space="preserve">Schlueter</w:t>
        </w:r>
        <w:r>
          <w:rPr>
            <w:rStyle w:val="Hyperlink"/>
          </w:rPr>
          <w:t xml:space="preserve"> </w:t>
        </w:r>
        <w:r>
          <w:rPr>
            <w:rStyle w:val="Hyperlink"/>
          </w:rPr>
          <w:t xml:space="preserve">et al. (2019)</w:t>
        </w:r>
      </w:hyperlink>
      <w:r>
        <w:t xml:space="preserve">  have suggested that these waves strongly modulate</w:t>
      </w:r>
      <w:r>
        <w:t xml:space="preserve"> </w:t>
      </w:r>
      <w:r>
        <w:t xml:space="preserve">convective activity and precipitation in Equatorial Africa. An</w:t>
      </w:r>
      <w:r>
        <w:t xml:space="preserve"> </w:t>
      </w:r>
      <w:r>
        <w:t xml:space="preserve">opportunity to exploit the source of synoptic-scale weather</w:t>
      </w:r>
      <w:r>
        <w:t xml:space="preserve"> </w:t>
      </w:r>
      <w:r>
        <w:t xml:space="preserve">predictability lies partly in how well we understand the behaviour of</w:t>
      </w:r>
      <w:r>
        <w:t xml:space="preserve"> </w:t>
      </w:r>
      <w:r>
        <w:t xml:space="preserve">these synoptic-scale weather systems in both</w:t>
      </w:r>
      <w:r>
        <w:t xml:space="preserve"> </w:t>
      </w:r>
      <w:r>
        <w:t xml:space="preserve">observations (Nguyen and Duvel, 2008; Sinclaire et al., 2015; Schlueter et al., 2019)  and weather and climate models.</w:t>
      </w:r>
    </w:p>
    <w:p>
      <w:pPr>
        <w:pStyle w:val="BodyText"/>
      </w:pPr>
      <w:r>
        <w:br w:type="textWrapping"/>
      </w:r>
      <w:r>
        <w:t xml:space="preserve">Much has been documented on the role of synoptic-scale tropical</w:t>
      </w:r>
      <w:r>
        <w:t xml:space="preserve"> </w:t>
      </w:r>
      <w:r>
        <w:t xml:space="preserve">disturbances in influencing precipitation and convection in West Africa</w:t>
      </w:r>
      <w:r>
        <w:t xml:space="preserve"> </w:t>
      </w:r>
      <w:r>
        <w:t xml:space="preserve">significantly north of the Equator (i.e.  9</w:t>
      </w:r>
      <w:r>
        <w:rPr>
          <w:vertAlign w:val="superscript"/>
        </w:rPr>
        <w:t xml:space="preserve">o</w:t>
      </w:r>
      <w:r>
        <w:t xml:space="preserve">N –</w:t>
      </w:r>
      <w:r>
        <w:t xml:space="preserve"> </w:t>
      </w:r>
      <w:r>
        <w:t xml:space="preserve">20</w:t>
      </w:r>
      <w:r>
        <w:rPr>
          <w:vertAlign w:val="superscript"/>
        </w:rPr>
        <w:t xml:space="preserve">o</w:t>
      </w:r>
      <w:r>
        <w:t xml:space="preserve">N) (see, for example,   (Duvel, 1990; Mounier et al., 2006; Mekonnen et al., 2008; Janicot et al., 2009; Ventrice et al., 2012; Yang et al., 2018; Schlueter et al., 2019)) but</w:t>
      </w:r>
      <w:r>
        <w:t xml:space="preserve"> </w:t>
      </w:r>
      <w:r>
        <w:t xml:space="preserve">our knowledge of the role of synoptic-scale disturbances in influencing</w:t>
      </w:r>
      <w:r>
        <w:t xml:space="preserve"> </w:t>
      </w:r>
      <w:r>
        <w:t xml:space="preserve">convection and precipitation variability within a few degrees about the</w:t>
      </w:r>
      <w:r>
        <w:t xml:space="preserve"> </w:t>
      </w:r>
      <w:r>
        <w:t xml:space="preserve">equator remains limited.  Additionally, the few studies that did focus</w:t>
      </w:r>
      <w:r>
        <w:t xml:space="preserve"> </w:t>
      </w:r>
      <w:r>
        <w:t xml:space="preserve">on the role of these large-scale disturbances  concentrated exclusively</w:t>
      </w:r>
      <w:r>
        <w:t xml:space="preserve"> </w:t>
      </w:r>
      <w:r>
        <w:t xml:space="preserve">on either WEA (Sinclaire et al., 2015; Nguyen and Duvel, 2008)  or EEA (e.g (Pohl and Camberlin, 2006), and</w:t>
      </w:r>
      <w:r>
        <w:t xml:space="preserve"> </w:t>
      </w:r>
      <w:r>
        <w:t xml:space="preserve">thus our knowledge on how WEA and EEA interact is incomplete.  Of the</w:t>
      </w:r>
      <w:r>
        <w:t xml:space="preserve"> </w:t>
      </w:r>
      <w:r>
        <w:t xml:space="preserve">literature that does focus on this interaction,</w:t>
      </w:r>
      <w:r>
        <w:t xml:space="preserve"> </w:t>
      </w:r>
      <w:r>
        <w:t xml:space="preserve"> </w:t>
      </w:r>
      <w:hyperlink r:id="rId22">
        <w:r>
          <w:rPr>
            <w:rStyle w:val="Hyperlink"/>
          </w:rPr>
          <w:t xml:space="preserve">Pohl</w:t>
        </w:r>
        <w:r>
          <w:rPr>
            <w:rStyle w:val="Hyperlink"/>
          </w:rPr>
          <w:t xml:space="preserve"> </w:t>
        </w:r>
        <w:r>
          <w:rPr>
            <w:rStyle w:val="Hyperlink"/>
          </w:rPr>
          <w:t xml:space="preserve">et al. (2006)</w:t>
        </w:r>
      </w:hyperlink>
      <w:r>
        <w:t xml:space="preserve"> suggested that eastward propagating synoptic-scale</w:t>
      </w:r>
      <w:r>
        <w:t xml:space="preserve"> </w:t>
      </w:r>
      <w:r>
        <w:t xml:space="preserve">dynamical disturbances trigger convective activity as they travel</w:t>
      </w:r>
      <w:r>
        <w:t xml:space="preserve"> </w:t>
      </w:r>
      <w:r>
        <w:t xml:space="preserve">through Equatorial Africa. </w:t>
      </w:r>
      <w:r>
        <w:t xml:space="preserve"> </w:t>
      </w:r>
      <w:r>
        <w:t xml:space="preserve">Also, </w:t>
      </w:r>
      <w:hyperlink r:id="rId22">
        <w:r>
          <w:rPr>
            <w:rStyle w:val="Hyperlink"/>
          </w:rPr>
          <w:t xml:space="preserve">Sinclaire</w:t>
        </w:r>
        <w:r>
          <w:rPr>
            <w:rStyle w:val="Hyperlink"/>
          </w:rPr>
          <w:t xml:space="preserve"> </w:t>
        </w:r>
        <w:r>
          <w:rPr>
            <w:rStyle w:val="Hyperlink"/>
          </w:rPr>
          <w:t xml:space="preserve">et al. (2015)</w:t>
        </w:r>
      </w:hyperlink>
      <w:r>
        <w:t xml:space="preserve"> investigated synoptic Kelvin waves in the Congo basin and</w:t>
      </w:r>
      <w:r>
        <w:t xml:space="preserve"> </w:t>
      </w:r>
      <w:r>
        <w:t xml:space="preserve">found that, during March-June, the eastward propagating CCKWs favour</w:t>
      </w:r>
      <w:r>
        <w:t xml:space="preserve"> </w:t>
      </w:r>
      <w:r>
        <w:t xml:space="preserve">initiation of synoptic-scale convective systems.  However, the role of</w:t>
      </w:r>
      <w:r>
        <w:t xml:space="preserve"> </w:t>
      </w:r>
      <w:r>
        <w:t xml:space="preserve">synoptic-scale dynamical systems in influencing precipitation and</w:t>
      </w:r>
      <w:r>
        <w:t xml:space="preserve"> </w:t>
      </w:r>
      <w:r>
        <w:t xml:space="preserve">convection relationships between WEA and EEA has not been thoroughly</w:t>
      </w:r>
      <w:r>
        <w:t xml:space="preserve"> </w:t>
      </w:r>
      <w:r>
        <w:t xml:space="preserve">investigated.</w:t>
      </w:r>
    </w:p>
    <w:p>
      <w:pPr>
        <w:pStyle w:val="BodyText"/>
      </w:pPr>
      <w:r>
        <w:br w:type="textWrapping"/>
      </w:r>
      <w:r>
        <w:t xml:space="preserve">A particular study on this interaction came</w:t>
      </w:r>
      <w:r>
        <w:t xml:space="preserve"> </w:t>
      </w:r>
      <w:r>
        <w:t xml:space="preserve">from </w:t>
      </w:r>
      <w:hyperlink r:id="rId23">
        <w:r>
          <w:rPr>
            <w:rStyle w:val="Hyperlink"/>
          </w:rPr>
          <w:t xml:space="preserve">Mekonnen</w:t>
        </w:r>
        <w:r>
          <w:rPr>
            <w:rStyle w:val="Hyperlink"/>
          </w:rPr>
          <w:t xml:space="preserve"> </w:t>
        </w:r>
        <w:r>
          <w:rPr>
            <w:rStyle w:val="Hyperlink"/>
          </w:rPr>
          <w:t xml:space="preserve">et al. (2016)</w:t>
        </w:r>
      </w:hyperlink>
      <w:r>
        <w:t xml:space="preserve">, who examined 22-years of cloud brightness temperature to</w:t>
      </w:r>
      <w:r>
        <w:t xml:space="preserve"> </w:t>
      </w:r>
      <w:r>
        <w:t xml:space="preserve">investigate convective activity interaction between the Congo Basin and</w:t>
      </w:r>
      <w:r>
        <w:t xml:space="preserve"> </w:t>
      </w:r>
      <w:r>
        <w:t xml:space="preserve">Eastern Africa during boreal summer. Their findings suggested a dipole</w:t>
      </w:r>
      <w:r>
        <w:t xml:space="preserve"> </w:t>
      </w:r>
      <w:r>
        <w:t xml:space="preserve">synoptic-scale convective activity interaction between the Congo Basin</w:t>
      </w:r>
      <w:r>
        <w:t xml:space="preserve"> </w:t>
      </w:r>
      <w:r>
        <w:t xml:space="preserve">and Eastern Africa, and they observed that CCKWs modulate a coherent</w:t>
      </w:r>
      <w:r>
        <w:t xml:space="preserve"> </w:t>
      </w:r>
      <w:r>
        <w:t xml:space="preserve">eastward/northeastward propagating convective signal that oscillates</w:t>
      </w:r>
      <w:r>
        <w:t xml:space="preserve"> </w:t>
      </w:r>
      <w:r>
        <w:t xml:space="preserve">between enhanced and suppressed states with a periodicity of 3–4 days.</w:t>
      </w:r>
      <w:r>
        <w:t xml:space="preserve"> </w:t>
      </w:r>
      <w:r>
        <w:t xml:space="preserve">They found that low-level westerly and southwesterly anomalous winds are</w:t>
      </w:r>
      <w:r>
        <w:t xml:space="preserve"> </w:t>
      </w:r>
      <w:r>
        <w:t xml:space="preserve">linked to enhanced convection over East Africa, while northeasterly wind</w:t>
      </w:r>
      <w:r>
        <w:t xml:space="preserve"> </w:t>
      </w:r>
      <w:r>
        <w:t xml:space="preserve">anomalies show a connection to suppressed convection over East Africa.</w:t>
      </w:r>
      <w:r>
        <w:t xml:space="preserve"> </w:t>
      </w:r>
      <w:r>
        <w:t xml:space="preserve">The current study therefore builds on</w:t>
      </w:r>
      <w:r>
        <w:t xml:space="preserve"> </w:t>
      </w:r>
      <w:r>
        <w:t xml:space="preserve"> </w:t>
      </w:r>
      <w:hyperlink r:id="rId22">
        <w:r>
          <w:rPr>
            <w:rStyle w:val="Hyperlink"/>
          </w:rPr>
          <w:t xml:space="preserve">Mekonnen</w:t>
        </w:r>
        <w:r>
          <w:rPr>
            <w:rStyle w:val="Hyperlink"/>
          </w:rPr>
          <w:t xml:space="preserve"> </w:t>
        </w:r>
        <w:r>
          <w:rPr>
            <w:rStyle w:val="Hyperlink"/>
          </w:rPr>
          <w:t xml:space="preserve">et al. (2016)</w:t>
        </w:r>
      </w:hyperlink>
      <w:r>
        <w:t xml:space="preserve"> </w:t>
      </w:r>
      <w:r>
        <w:t xml:space="preserve"> by examining: actual observed daily precipitation</w:t>
      </w:r>
      <w:r>
        <w:t xml:space="preserve"> </w:t>
      </w:r>
      <w:r>
        <w:t xml:space="preserve">(rather than an indirect measure of convective activity); from a number</w:t>
      </w:r>
      <w:r>
        <w:t xml:space="preserve"> </w:t>
      </w:r>
      <w:r>
        <w:t xml:space="preserve">of datasets; for the whole year (rather than certain seasons only); and</w:t>
      </w:r>
      <w:r>
        <w:t xml:space="preserve"> </w:t>
      </w:r>
      <w:r>
        <w:t xml:space="preserve">on a higher spatial resolution. </w:t>
      </w:r>
    </w:p>
    <w:p>
      <w:pPr>
        <w:pStyle w:val="BodyText"/>
      </w:pPr>
      <w:r>
        <w:br w:type="textWrapping"/>
      </w:r>
      <w:r>
        <w:t xml:space="preserve">The rest of this manuscript is organised as follows. Section 2 describes</w:t>
      </w:r>
      <w:r>
        <w:t xml:space="preserve"> </w:t>
      </w:r>
      <w:r>
        <w:t xml:space="preserve">the datasets analysed, followed by Section 3 describing the methodology.</w:t>
      </w:r>
      <w:r>
        <w:t xml:space="preserve"> </w:t>
      </w:r>
      <w:r>
        <w:t xml:space="preserve">In Section 4 the results are presented and finally Section 5 summarises</w:t>
      </w:r>
      <w:r>
        <w:t xml:space="preserve"> </w:t>
      </w:r>
      <w:r>
        <w:t xml:space="preserve">and concludes.</w:t>
      </w:r>
    </w:p>
    <w:p>
      <w:pPr>
        <w:pStyle w:val="BodyText"/>
      </w:pPr>
      <w:r>
        <w:br w:type="textWrapping"/>
      </w:r>
    </w:p>
    <w:p>
      <w:pPr>
        <w:pStyle w:val="Heading1"/>
      </w:pPr>
      <w:bookmarkStart w:id="24" w:name="data"/>
      <w:bookmarkEnd w:id="24"/>
      <w:r>
        <w:t xml:space="preserve">Data</w:t>
      </w:r>
    </w:p>
    <w:p>
      <w:pPr>
        <w:pStyle w:val="Heading2"/>
      </w:pPr>
      <w:bookmarkStart w:id="25" w:name="tropical-rainfall-measuring-mission-trmm"/>
      <w:bookmarkEnd w:id="25"/>
      <w:r>
        <w:t xml:space="preserve">Tropical Rainfall Measuring Mission</w:t>
      </w:r>
      <w:r>
        <w:t xml:space="preserve"> </w:t>
      </w:r>
      <w:r>
        <w:t xml:space="preserve">(TRMM)</w:t>
      </w:r>
    </w:p>
    <w:p>
      <w:pPr>
        <w:pStyle w:val="FirstParagraph"/>
      </w:pPr>
      <w:r>
        <w:t xml:space="preserve">The Tropical Rainfall Measuring Mission (TRMM) daily precipitation</w:t>
      </w:r>
      <w:r>
        <w:t xml:space="preserve"> </w:t>
      </w:r>
      <w:r>
        <w:t xml:space="preserve">dataset has a latitudinal coverage that spans 50</w:t>
      </w:r>
      <w:r>
        <w:rPr>
          <w:vertAlign w:val="superscript"/>
        </w:rPr>
        <w:t xml:space="preserve">o</w:t>
      </w:r>
      <w:r>
        <w:t xml:space="preserve">S -</w:t>
      </w:r>
      <w:r>
        <w:t xml:space="preserve"> </w:t>
      </w:r>
      <w:r>
        <w:t xml:space="preserve">50</w:t>
      </w:r>
      <w:r>
        <w:rPr>
          <w:vertAlign w:val="superscript"/>
        </w:rPr>
        <w:t xml:space="preserve">o</w:t>
      </w:r>
      <w:r>
        <w:t xml:space="preserve">N, and is produced at a resolution of</w:t>
      </w:r>
      <w:r>
        <w:t xml:space="preserve"> </w:t>
      </w:r>
      <w:r>
        <w:t xml:space="preserve">0.25</w:t>
      </w:r>
      <w:r>
        <w:rPr>
          <w:vertAlign w:val="superscript"/>
        </w:rPr>
        <w:t xml:space="preserve">o</w:t>
      </w:r>
      <w:r>
        <w:t xml:space="preserve"> x 0.25</w:t>
      </w:r>
      <w:r>
        <w:rPr>
          <w:vertAlign w:val="superscript"/>
        </w:rPr>
        <w:t xml:space="preserve">o</w:t>
      </w:r>
      <w:r>
        <w:t xml:space="preserve">, as described in </w:t>
      </w:r>
      <w:r>
        <w:t xml:space="preserve"> </w:t>
      </w:r>
      <w:r>
        <w:t xml:space="preserve"> </w:t>
      </w:r>
      <w:hyperlink r:id="rId22">
        <w:r>
          <w:rPr>
            <w:rStyle w:val="Hyperlink"/>
          </w:rPr>
          <w:t xml:space="preserve">Huffman</w:t>
        </w:r>
        <w:r>
          <w:rPr>
            <w:rStyle w:val="Hyperlink"/>
          </w:rPr>
          <w:t xml:space="preserve"> </w:t>
        </w:r>
        <w:r>
          <w:rPr>
            <w:rStyle w:val="Hyperlink"/>
          </w:rPr>
          <w:t xml:space="preserve">et al. (2007)</w:t>
        </w:r>
      </w:hyperlink>
      <w:r>
        <w:t xml:space="preserve"> </w:t>
      </w:r>
      <w:r>
        <w:t xml:space="preserve">.  The 3B42 version 7 of the daily TRMM estimates is</w:t>
      </w:r>
      <w:r>
        <w:t xml:space="preserve"> </w:t>
      </w:r>
      <w:r>
        <w:t xml:space="preserve">computed by accumulating eight 3-hourly TRMM 3B42 records obtained by</w:t>
      </w:r>
      <w:r>
        <w:t xml:space="preserve"> </w:t>
      </w:r>
      <w:r>
        <w:t xml:space="preserve">merging precipitation estimates from multiple satellites</w:t>
      </w:r>
      <w:r>
        <w:t xml:space="preserve"> </w:t>
      </w:r>
      <w:r>
        <w:t xml:space="preserve">(</w:t>
      </w:r>
      <w:hyperlink r:id="rId26">
        <w:r>
          <w:rPr>
            <w:rStyle w:val="Hyperlink"/>
          </w:rPr>
          <w:t xml:space="preserve">Huffman</w:t>
        </w:r>
        <w:r>
          <w:rPr>
            <w:rStyle w:val="Hyperlink"/>
          </w:rPr>
          <w:t xml:space="preserve"> </w:t>
        </w:r>
        <w:r>
          <w:rPr>
            <w:rStyle w:val="Hyperlink"/>
          </w:rPr>
          <w:t xml:space="preserve">et al. 2007)</w:t>
        </w:r>
      </w:hyperlink>
      <w:r>
        <w:t xml:space="preserve">, and ground-based observations are used for bias</w:t>
      </w:r>
      <w:r>
        <w:t xml:space="preserve"> </w:t>
      </w:r>
      <w:r>
        <w:t xml:space="preserve">correction of the final product over regions where they are available.</w:t>
      </w:r>
      <w:r>
        <w:t xml:space="preserve"> </w:t>
      </w:r>
      <w:r>
        <w:t xml:space="preserve">The validation of TRMM daily estimates over various regions has been</w:t>
      </w:r>
      <w:r>
        <w:t xml:space="preserve"> </w:t>
      </w:r>
      <w:r>
        <w:t xml:space="preserve">conducted by several studies (Dinku et al., 2007; Gebremicael et al., 2019).                    </w:t>
      </w:r>
    </w:p>
    <w:p>
      <w:pPr>
        <w:pStyle w:val="BodyText"/>
      </w:pPr>
      <w:r>
        <w:br w:type="textWrapping"/>
      </w:r>
    </w:p>
    <w:p>
      <w:pPr>
        <w:pStyle w:val="Heading2"/>
      </w:pPr>
      <w:bookmarkStart w:id="27" w:name="global-precipitation-climatology-project-gpcp-1dd"/>
      <w:bookmarkEnd w:id="27"/>
      <w:r>
        <w:t xml:space="preserve">Global Precipitation Climatology Project</w:t>
      </w:r>
      <w:r>
        <w:t xml:space="preserve"> </w:t>
      </w:r>
      <w:r>
        <w:t xml:space="preserve">(GPCP-1DD)</w:t>
      </w:r>
    </w:p>
    <w:p>
      <w:pPr>
        <w:pStyle w:val="FirstParagraph"/>
      </w:pPr>
      <w:r>
        <w:t xml:space="preserve">The Global Precipitation Climatology Project (GPCP-1DD) is a</w:t>
      </w:r>
      <w:r>
        <w:t xml:space="preserve"> </w:t>
      </w:r>
      <w:r>
        <w:t xml:space="preserve">1</w:t>
      </w:r>
      <w:r>
        <w:rPr>
          <w:vertAlign w:val="superscript"/>
        </w:rPr>
        <w:t xml:space="preserve">o</w:t>
      </w:r>
      <w:r>
        <w:t xml:space="preserve"> x 1</w:t>
      </w:r>
      <w:r>
        <w:rPr>
          <w:vertAlign w:val="superscript"/>
        </w:rPr>
        <w:t xml:space="preserve">o</w:t>
      </w:r>
      <w:r>
        <w:t xml:space="preserve"> global daily precipitation</w:t>
      </w:r>
      <w:r>
        <w:t xml:space="preserve"> </w:t>
      </w:r>
      <w:r>
        <w:t xml:space="preserve">product produced by merging various satellite estimates and rain gauge</w:t>
      </w:r>
      <w:r>
        <w:t xml:space="preserve"> </w:t>
      </w:r>
      <w:r>
        <w:t xml:space="preserve">observations (Huffman et al., 2001). The microwave estimates are generated</w:t>
      </w:r>
      <w:r>
        <w:t xml:space="preserve"> </w:t>
      </w:r>
      <w:r>
        <w:t xml:space="preserve">from the Special Sensor Microwave Imager (SSM/I) on board the Defence</w:t>
      </w:r>
      <w:r>
        <w:t xml:space="preserve"> </w:t>
      </w:r>
      <w:r>
        <w:t xml:space="preserve">Meteorological Satellite Program, and the Infrared (IR) data uses the</w:t>
      </w:r>
      <w:r>
        <w:t xml:space="preserve"> </w:t>
      </w:r>
      <w:r>
        <w:t xml:space="preserve">Geostationary Operational Environmental (GOES) Precipitation Index (GPI)</w:t>
      </w:r>
      <w:r>
        <w:t xml:space="preserve"> </w:t>
      </w:r>
      <w:r>
        <w:t xml:space="preserve">which relates cold cloud top temperature to precipitation</w:t>
      </w:r>
      <w:r>
        <w:t xml:space="preserve"> </w:t>
      </w:r>
      <w:r>
        <w:t xml:space="preserve">rate </w:t>
      </w:r>
      <w:hyperlink r:id="rId28">
        <w:r>
          <w:rPr>
            <w:rStyle w:val="Hyperlink"/>
          </w:rPr>
          <w:t xml:space="preserve">(Huffman</w:t>
        </w:r>
        <w:r>
          <w:rPr>
            <w:rStyle w:val="Hyperlink"/>
          </w:rPr>
          <w:t xml:space="preserve"> </w:t>
        </w:r>
        <w:r>
          <w:rPr>
            <w:rStyle w:val="Hyperlink"/>
          </w:rPr>
          <w:t xml:space="preserve">2001)</w:t>
        </w:r>
      </w:hyperlink>
      <w:r>
        <w:t xml:space="preserve">. Precipitation estimates are then computed using the</w:t>
      </w:r>
      <w:r>
        <w:t xml:space="preserve"> </w:t>
      </w:r>
      <w:r>
        <w:t xml:space="preserve">Threshold-Matched Precipitation Index (TMPI) that is applied on the</w:t>
      </w:r>
      <w:r>
        <w:t xml:space="preserve"> </w:t>
      </w:r>
      <w:r>
        <w:t xml:space="preserve">SSM/I data to isolate raining pixels in the IR</w:t>
      </w:r>
      <w:r>
        <w:t xml:space="preserve"> </w:t>
      </w:r>
      <w:r>
        <w:t xml:space="preserve">data </w:t>
      </w:r>
      <w:hyperlink r:id="rId28">
        <w:r>
          <w:rPr>
            <w:rStyle w:val="Hyperlink"/>
          </w:rPr>
          <w:t xml:space="preserve">(Huffman</w:t>
        </w:r>
        <w:r>
          <w:rPr>
            <w:rStyle w:val="Hyperlink"/>
          </w:rPr>
          <w:t xml:space="preserve"> </w:t>
        </w:r>
        <w:r>
          <w:rPr>
            <w:rStyle w:val="Hyperlink"/>
          </w:rPr>
          <w:t xml:space="preserve">2001)</w:t>
        </w:r>
      </w:hyperlink>
      <w:r>
        <w:t xml:space="preserve">. The rain gauge precipitation observations are indirectly used</w:t>
      </w:r>
      <w:r>
        <w:t xml:space="preserve"> </w:t>
      </w:r>
      <w:r>
        <w:t xml:space="preserve">when the GPCP-1DD accumulations are scaled to match the GPCP monthly</w:t>
      </w:r>
      <w:r>
        <w:t xml:space="preserve"> </w:t>
      </w:r>
      <w:r>
        <w:t xml:space="preserve">product.   This particular dataset has been validated over</w:t>
      </w:r>
      <w:r>
        <w:t xml:space="preserve"> </w:t>
      </w:r>
      <w:r>
        <w:t xml:space="preserve">EEA </w:t>
      </w:r>
      <w:hyperlink r:id="rId29">
        <w:r>
          <w:rPr>
            <w:rStyle w:val="Hyperlink"/>
          </w:rPr>
          <w:t xml:space="preserve">(Dinku</w:t>
        </w:r>
        <w:r>
          <w:rPr>
            <w:rStyle w:val="Hyperlink"/>
          </w:rPr>
          <w:t xml:space="preserve"> </w:t>
        </w:r>
        <w:r>
          <w:rPr>
            <w:rStyle w:val="Hyperlink"/>
          </w:rPr>
          <w:t xml:space="preserve">2007)</w:t>
        </w:r>
      </w:hyperlink>
      <w:r>
        <w:t xml:space="preserve">  and this makes it ideal for the current study, which uses the</w:t>
      </w:r>
      <w:r>
        <w:t xml:space="preserve"> </w:t>
      </w:r>
      <w:r>
        <w:t xml:space="preserve">1DD daily estimates for the period 1997 - 2012. </w:t>
      </w:r>
    </w:p>
    <w:p>
      <w:pPr>
        <w:pStyle w:val="Heading2"/>
      </w:pPr>
      <w:bookmarkStart w:id="30" w:name="era-interim"/>
      <w:bookmarkEnd w:id="30"/>
      <w:r>
        <w:t xml:space="preserve">ERA-Interim</w:t>
      </w:r>
    </w:p>
    <w:p>
      <w:pPr>
        <w:pStyle w:val="FirstParagraph"/>
      </w:pPr>
      <w:r>
        <w:t xml:space="preserve">ERA-Interim (ERA-I) is a global atmospheric reanalysis dataset that was</w:t>
      </w:r>
      <w:r>
        <w:t xml:space="preserve"> </w:t>
      </w:r>
      <w:r>
        <w:t xml:space="preserve">produced by the European Centre for Medium-Range Weather Forecasts</w:t>
      </w:r>
      <w:r>
        <w:t xml:space="preserve"> </w:t>
      </w:r>
      <w:r>
        <w:t xml:space="preserve">(ECMWF), available on a spatial resolution of 0.7</w:t>
      </w:r>
      <w:r>
        <w:rPr>
          <w:vertAlign w:val="superscript"/>
        </w:rPr>
        <w:t xml:space="preserve">o</w:t>
      </w:r>
      <w:r>
        <w:t xml:space="preserve"> </w:t>
      </w:r>
      <w:r>
        <w:t xml:space="preserve">x</w:t>
      </w:r>
      <w:r>
        <w:t xml:space="preserve"> </w:t>
      </w:r>
      <w:r>
        <w:t xml:space="preserve">0.7</w:t>
      </w:r>
      <w:r>
        <w:rPr>
          <w:vertAlign w:val="superscript"/>
        </w:rPr>
        <w:t xml:space="preserve">o</w:t>
      </w:r>
      <w:r>
        <w:t xml:space="preserve"> </w:t>
      </w:r>
      <w:r>
        <w:t xml:space="preserve">and a 6-hour temporal resolution at 37 pressure</w:t>
      </w:r>
      <w:r>
        <w:t xml:space="preserve"> </w:t>
      </w:r>
      <w:r>
        <w:t xml:space="preserve">levels (see (Dee et al., 2011) for full description of ERA-I). The</w:t>
      </w:r>
      <w:r>
        <w:t xml:space="preserve"> </w:t>
      </w:r>
      <w:r>
        <w:t xml:space="preserve">current study uses the daily averaged fields for the period of 1998 -</w:t>
      </w:r>
      <w:r>
        <w:t xml:space="preserve"> </w:t>
      </w:r>
      <w:r>
        <w:t xml:space="preserve">2013.</w:t>
      </w:r>
    </w:p>
    <w:p>
      <w:pPr>
        <w:pStyle w:val="BodyText"/>
      </w:pPr>
      <w:r>
        <w:br w:type="textWrapping"/>
      </w:r>
    </w:p>
    <w:p>
      <w:pPr>
        <w:pStyle w:val="Heading2"/>
      </w:pPr>
      <w:bookmarkStart w:id="31" w:name="equatorial-wave-dataset"/>
      <w:bookmarkEnd w:id="31"/>
      <w:r>
        <w:t xml:space="preserve">Equatorial Wave dataset</w:t>
      </w:r>
    </w:p>
    <w:p>
      <w:pPr>
        <w:pStyle w:val="FirstParagraph"/>
      </w:pPr>
      <w:r>
        <w:t xml:space="preserve">The equatorial wave dataset is produced using dynamical fields in ERA-I.</w:t>
      </w:r>
      <w:r>
        <w:t xml:space="preserve"> </w:t>
      </w:r>
      <w:r>
        <w:t xml:space="preserve">The dataset has a spatial resolution of 1</w:t>
      </w:r>
      <w:r>
        <w:rPr>
          <w:vertAlign w:val="superscript"/>
        </w:rPr>
        <w:t xml:space="preserve">o</w:t>
      </w:r>
      <w:r>
        <w:t xml:space="preserve"> x</w:t>
      </w:r>
      <w:r>
        <w:t xml:space="preserve"> </w:t>
      </w:r>
      <w:r>
        <w:t xml:space="preserve">1</w:t>
      </w:r>
      <w:r>
        <w:rPr>
          <w:vertAlign w:val="superscript"/>
        </w:rPr>
        <w:t xml:space="preserve">o</w:t>
      </w:r>
      <w:r>
        <w:t xml:space="preserve"> and a 6-hour temporal resolution at 10 pressure</w:t>
      </w:r>
      <w:r>
        <w:t xml:space="preserve"> </w:t>
      </w:r>
      <w:r>
        <w:t xml:space="preserve">levels for the entire 24</w:t>
      </w:r>
      <w:r>
        <w:rPr>
          <w:vertAlign w:val="superscript"/>
        </w:rPr>
        <w:t xml:space="preserve">o</w:t>
      </w:r>
      <w:r>
        <w:t xml:space="preserve">S - 24</w:t>
      </w:r>
      <w:r>
        <w:rPr>
          <w:vertAlign w:val="superscript"/>
        </w:rPr>
        <w:t xml:space="preserve">o</w:t>
      </w:r>
      <w:r>
        <w:t xml:space="preserve">N</w:t>
      </w:r>
      <w:r>
        <w:t xml:space="preserve"> </w:t>
      </w:r>
      <w:r>
        <w:t xml:space="preserve">latitudinal belt, and includes equatorial waves with zonal wavenumbers</w:t>
      </w:r>
      <w:r>
        <w:t xml:space="preserve"> </w:t>
      </w:r>
      <w:r>
        <w:t xml:space="preserve">k=2-40 and a period of 2-30 days: for full details,</w:t>
      </w:r>
      <w:r>
        <w:t xml:space="preserve"> </w:t>
      </w:r>
      <w:r>
        <w:t xml:space="preserve">see (Yang et al., 2003). Identification of the different types of</w:t>
      </w:r>
      <w:r>
        <w:t xml:space="preserve"> </w:t>
      </w:r>
      <w:r>
        <w:t xml:space="preserve">equatorial waves is done by projecting the dynamical fields onto various</w:t>
      </w:r>
      <w:r>
        <w:t xml:space="preserve"> </w:t>
      </w:r>
      <w:r>
        <w:t xml:space="preserve">equatorial wave modes using their meridional structures, described by</w:t>
      </w:r>
      <w:r>
        <w:t xml:space="preserve"> </w:t>
      </w:r>
      <w:r>
        <w:t xml:space="preserve">parabolic cylinder functions in y and sinusoidal variations in x; prior</w:t>
      </w:r>
      <w:r>
        <w:t xml:space="preserve"> </w:t>
      </w:r>
      <w:r>
        <w:t xml:space="preserve">to projecting the dynamical field data onto the equatorial structure,</w:t>
      </w:r>
      <w:r>
        <w:t xml:space="preserve"> </w:t>
      </w:r>
      <w:r>
        <w:t xml:space="preserve">the data are filtered in a specified wavenumber and frequency domain to</w:t>
      </w:r>
      <w:r>
        <w:t xml:space="preserve"> </w:t>
      </w:r>
      <w:r>
        <w:t xml:space="preserve">separate into eastward and westward propagating components using</w:t>
      </w:r>
      <w:r>
        <w:t xml:space="preserve"> </w:t>
      </w:r>
      <w:r>
        <w:t xml:space="preserve">space-time spectral analysis</w:t>
      </w:r>
      <w:r>
        <w:t xml:space="preserve"> </w:t>
      </w:r>
      <w:r>
        <w:t xml:space="preserve">(</w:t>
      </w:r>
      <w:hyperlink r:id="rId32">
        <w:r>
          <w:rPr>
            <w:rStyle w:val="Hyperlink"/>
          </w:rPr>
          <w:t xml:space="preserve">Yang</w:t>
        </w:r>
        <w:r>
          <w:rPr>
            <w:rStyle w:val="Hyperlink"/>
          </w:rPr>
          <w:t xml:space="preserve"> </w:t>
        </w:r>
        <w:r>
          <w:rPr>
            <w:rStyle w:val="Hyperlink"/>
          </w:rPr>
          <w:t xml:space="preserve">et al. 2003)</w:t>
        </w:r>
      </w:hyperlink>
      <w:r>
        <w:t xml:space="preserve">. One aspect that makes this dataset unique is that the</w:t>
      </w:r>
      <w:r>
        <w:t xml:space="preserve"> </w:t>
      </w:r>
      <w:r>
        <w:t xml:space="preserve">data are projected onto each pressure level independently, allowing the</w:t>
      </w:r>
      <w:r>
        <w:t xml:space="preserve"> </w:t>
      </w:r>
      <w:r>
        <w:t xml:space="preserve">data to reveal the vertical structure rather than having to assume</w:t>
      </w:r>
      <w:r>
        <w:t xml:space="preserve"> </w:t>
      </w:r>
      <w:r>
        <w:t xml:space="preserve">dispersion relations, and it is worth noting that equatorial waves are</w:t>
      </w:r>
      <w:r>
        <w:t xml:space="preserve"> </w:t>
      </w:r>
      <w:r>
        <w:t xml:space="preserve">identified based on their dynamical structure</w:t>
      </w:r>
      <w:r>
        <w:t xml:space="preserve"> </w:t>
      </w:r>
      <w:r>
        <w:t xml:space="preserve">(</w:t>
      </w:r>
      <w:hyperlink r:id="rId32">
        <w:r>
          <w:rPr>
            <w:rStyle w:val="Hyperlink"/>
          </w:rPr>
          <w:t xml:space="preserve">Yang</w:t>
        </w:r>
        <w:r>
          <w:rPr>
            <w:rStyle w:val="Hyperlink"/>
          </w:rPr>
          <w:t xml:space="preserve"> </w:t>
        </w:r>
        <w:r>
          <w:rPr>
            <w:rStyle w:val="Hyperlink"/>
          </w:rPr>
          <w:t xml:space="preserve">et al. 2003)</w:t>
        </w:r>
      </w:hyperlink>
      <w:r>
        <w:t xml:space="preserve">, making it appropriate for the current study. Because the</w:t>
      </w:r>
      <w:r>
        <w:t xml:space="preserve"> </w:t>
      </w:r>
      <w:r>
        <w:t xml:space="preserve">equatorial dataset does not use Outgoing Longwave Radiation (OLR) to</w:t>
      </w:r>
      <w:r>
        <w:t xml:space="preserve"> </w:t>
      </w:r>
      <w:r>
        <w:t xml:space="preserve">identify the waves, it has no information about precipitation, thus the</w:t>
      </w:r>
      <w:r>
        <w:t xml:space="preserve"> </w:t>
      </w:r>
      <w:r>
        <w:t xml:space="preserve">relationship between this dataset and precipitation is independent of</w:t>
      </w:r>
      <w:r>
        <w:t xml:space="preserve"> </w:t>
      </w:r>
      <w:r>
        <w:t xml:space="preserve">the technique used to generate it. This dataset is available from 1997 -</w:t>
      </w:r>
      <w:r>
        <w:t xml:space="preserve"> </w:t>
      </w:r>
      <w:r>
        <w:t xml:space="preserve">2018, however this study uses the daily averaged data for the period</w:t>
      </w:r>
      <w:r>
        <w:t xml:space="preserve"> </w:t>
      </w:r>
      <w:r>
        <w:t xml:space="preserve">1998 - 2013.</w:t>
      </w:r>
    </w:p>
    <w:p>
      <w:pPr>
        <w:pStyle w:val="Heading1"/>
      </w:pPr>
      <w:bookmarkStart w:id="33" w:name="methodology"/>
      <w:bookmarkEnd w:id="33"/>
      <w:r>
        <w:t xml:space="preserve">Methodology</w:t>
      </w:r>
    </w:p>
    <w:p>
      <w:pPr>
        <w:pStyle w:val="Heading2"/>
      </w:pPr>
      <w:bookmarkStart w:id="34" w:name="empirical-orthogonal-teleconnection-eot"/>
      <w:bookmarkEnd w:id="34"/>
      <w:r>
        <w:t xml:space="preserve">Empirical Orthogonal Teleconnection</w:t>
      </w:r>
      <w:r>
        <w:t xml:space="preserve"> </w:t>
      </w:r>
      <w:r>
        <w:t xml:space="preserve">(EOT)</w:t>
      </w:r>
    </w:p>
    <w:p>
      <w:pPr>
        <w:pStyle w:val="FirstParagraph"/>
      </w:pPr>
      <w:r>
        <w:t xml:space="preserve">The influence of oscillatory modes of tropical convection and</w:t>
      </w:r>
      <w:r>
        <w:t xml:space="preserve"> </w:t>
      </w:r>
      <w:r>
        <w:t xml:space="preserve">precipitation variability is location specific and seasonally</w:t>
      </w:r>
      <w:r>
        <w:t xml:space="preserve"> </w:t>
      </w:r>
      <w:r>
        <w:t xml:space="preserve">dependent </w:t>
      </w:r>
      <w:hyperlink r:id="rId35">
        <w:r>
          <w:rPr>
            <w:rStyle w:val="Hyperlink"/>
          </w:rPr>
          <w:t xml:space="preserve">(Pohl</w:t>
        </w:r>
        <w:r>
          <w:rPr>
            <w:rStyle w:val="Hyperlink"/>
          </w:rPr>
          <w:t xml:space="preserve"> </w:t>
        </w:r>
        <w:r>
          <w:rPr>
            <w:rStyle w:val="Hyperlink"/>
          </w:rPr>
          <w:t xml:space="preserve">2006,</w:t>
        </w:r>
      </w:hyperlink>
      <w:r>
        <w:t xml:space="preserve"> </w:t>
      </w:r>
      <w:hyperlink r:id="rId22">
        <w:r>
          <w:rPr>
            <w:rStyle w:val="Hyperlink"/>
          </w:rPr>
          <w:t xml:space="preserve">Sinclaire</w:t>
        </w:r>
        <w:r>
          <w:rPr>
            <w:rStyle w:val="Hyperlink"/>
          </w:rPr>
          <w:t xml:space="preserve"> </w:t>
        </w:r>
        <w:r>
          <w:rPr>
            <w:rStyle w:val="Hyperlink"/>
          </w:rPr>
          <w:t xml:space="preserve">2015)</w:t>
        </w:r>
      </w:hyperlink>
      <w:r>
        <w:t xml:space="preserve">. In this study, we subdivide the entire domain</w:t>
      </w:r>
      <w:r>
        <w:t xml:space="preserve"> </w:t>
      </w:r>
      <w:r>
        <w:t xml:space="preserve">(15</w:t>
      </w:r>
      <w:r>
        <w:rPr>
          <w:vertAlign w:val="superscript"/>
        </w:rPr>
        <w:t xml:space="preserve">o</w:t>
      </w:r>
      <w:r>
        <w:t xml:space="preserve">S – 15</w:t>
      </w:r>
      <w:r>
        <w:rPr>
          <w:vertAlign w:val="superscript"/>
        </w:rPr>
        <w:t xml:space="preserve">o</w:t>
      </w:r>
      <w:r>
        <w:t xml:space="preserve">N,</w:t>
      </w:r>
      <w:r>
        <w:t xml:space="preserve"> </w:t>
      </w:r>
      <w:r>
        <w:t xml:space="preserve">0</w:t>
      </w:r>
      <w:r>
        <w:rPr>
          <w:vertAlign w:val="superscript"/>
        </w:rPr>
        <w:t xml:space="preserve">o</w:t>
      </w:r>
      <w:r>
        <w:t xml:space="preserve"> – 51</w:t>
      </w:r>
      <w:r>
        <w:rPr>
          <w:vertAlign w:val="superscript"/>
        </w:rPr>
        <w:t xml:space="preserve">o</w:t>
      </w:r>
      <w:r>
        <w:t xml:space="preserve">E) into smaller sub-regions</w:t>
      </w:r>
      <w:r>
        <w:t xml:space="preserve"> </w:t>
      </w:r>
      <w:r>
        <w:t xml:space="preserve">with relatively similar daily precipitation variability, using the</w:t>
      </w:r>
      <w:r>
        <w:t xml:space="preserve"> </w:t>
      </w:r>
      <w:r>
        <w:t xml:space="preserve">Empirical Orthogonal Teleconnection (EOT) technique (Smith, 2004).</w:t>
      </w:r>
      <w:r>
        <w:t xml:space="preserve"> </w:t>
      </w:r>
      <w:r>
        <w:t xml:space="preserve">Prior to performing the EOT on the daily precipitation dataset, the</w:t>
      </w:r>
      <w:r>
        <w:t xml:space="preserve"> </w:t>
      </w:r>
      <w:r>
        <w:t xml:space="preserve">annual cycle was removed by subtracting a 30-day running mean of the</w:t>
      </w:r>
      <w:r>
        <w:t xml:space="preserve"> </w:t>
      </w:r>
      <w:r>
        <w:t xml:space="preserve">daily 16-year rainfall climatology from each year used in the study. </w:t>
      </w:r>
      <w:r>
        <w:t xml:space="preserve"> </w:t>
      </w:r>
      <w:r>
        <w:t xml:space="preserve">Since the interest here is to understand high frequency convection and</w:t>
      </w:r>
      <w:r>
        <w:t xml:space="preserve"> </w:t>
      </w:r>
      <w:r>
        <w:t xml:space="preserve">precipitation variability, the influence of low frequency modes of</w:t>
      </w:r>
      <w:r>
        <w:t xml:space="preserve"> </w:t>
      </w:r>
      <w:r>
        <w:t xml:space="preserve">variability was also removed by subtracting the 100-day simple moving</w:t>
      </w:r>
      <w:r>
        <w:t xml:space="preserve"> </w:t>
      </w:r>
      <w:r>
        <w:t xml:space="preserve">average from the time series at every grid-point in the domain. Finally,</w:t>
      </w:r>
      <w:r>
        <w:t xml:space="preserve"> </w:t>
      </w:r>
      <w:r>
        <w:t xml:space="preserve">any long-term trend over the 16-year period was removed using linear</w:t>
      </w:r>
      <w:r>
        <w:t xml:space="preserve"> </w:t>
      </w:r>
      <w:r>
        <w:t xml:space="preserve">regression. The remaining anomalies were then subjected to the EOT</w:t>
      </w:r>
      <w:r>
        <w:t xml:space="preserve"> </w:t>
      </w:r>
      <w:r>
        <w:t xml:space="preserve">algorithm.</w:t>
      </w:r>
    </w:p>
    <w:p>
      <w:pPr>
        <w:pStyle w:val="BodyText"/>
      </w:pPr>
      <w:r>
        <w:br w:type="textWrapping"/>
      </w:r>
      <w:r>
        <w:t xml:space="preserve">The purpose of this technique is to objectively identify sub-regions</w:t>
      </w:r>
      <w:r>
        <w:t xml:space="preserve"> </w:t>
      </w:r>
      <w:r>
        <w:t xml:space="preserve">exhibiting similar daily precipitation characteristics, and the</w:t>
      </w:r>
      <w:r>
        <w:t xml:space="preserve"> </w:t>
      </w:r>
      <w:r>
        <w:t xml:space="preserve">technique produces modes which are orthogonal in either space or time.</w:t>
      </w:r>
      <w:r>
        <w:t xml:space="preserve"> </w:t>
      </w:r>
      <w:r>
        <w:t xml:space="preserve">Here, we use the modified EOT approach as described in</w:t>
      </w:r>
      <w:r>
        <w:t xml:space="preserve"> </w:t>
      </w:r>
      <w:hyperlink r:id="rId36">
        <w:r>
          <w:rPr>
            <w:rStyle w:val="Hyperlink"/>
          </w:rPr>
          <w:t xml:space="preserve">Smith</w:t>
        </w:r>
        <w:r>
          <w:rPr>
            <w:rStyle w:val="Hyperlink"/>
          </w:rPr>
          <w:t xml:space="preserve"> </w:t>
        </w:r>
        <w:r>
          <w:rPr>
            <w:rStyle w:val="Hyperlink"/>
          </w:rPr>
          <w:t xml:space="preserve">(2004)</w:t>
        </w:r>
      </w:hyperlink>
      <w:r>
        <w:t xml:space="preserve"> . The modified version of the EOT technique is based on a global</w:t>
      </w:r>
      <w:r>
        <w:t xml:space="preserve"> </w:t>
      </w:r>
      <w:r>
        <w:t xml:space="preserve">integral as opposed to that which is based on global variance as</w:t>
      </w:r>
      <w:r>
        <w:t xml:space="preserve"> </w:t>
      </w:r>
      <w:r>
        <w:t xml:space="preserve">described in (Van den Dool et al., 2000).</w:t>
      </w:r>
    </w:p>
    <w:p>
      <w:pPr>
        <w:pStyle w:val="BodyText"/>
      </w:pPr>
      <w:r>
        <w:br w:type="textWrapping"/>
      </w:r>
      <w:r>
        <w:t xml:space="preserve">The procedure starts by searching for a base point whose timeseries is</w:t>
      </w:r>
      <w:r>
        <w:t xml:space="preserve"> </w:t>
      </w:r>
      <w:r>
        <w:t xml:space="preserve">best correlated to the area average timeseries of the domain. The base</w:t>
      </w:r>
      <w:r>
        <w:t xml:space="preserve"> </w:t>
      </w:r>
      <w:r>
        <w:t xml:space="preserve">point timeseries is then correlated with the timeseries of every</w:t>
      </w:r>
      <w:r>
        <w:t xml:space="preserve"> </w:t>
      </w:r>
      <w:r>
        <w:t xml:space="preserve">grid-point in the entire domain. The first sub-region is obtained by</w:t>
      </w:r>
      <w:r>
        <w:t xml:space="preserve"> </w:t>
      </w:r>
      <w:r>
        <w:t xml:space="preserve">identifying the longitude-latitude box that completely encloses the</w:t>
      </w:r>
      <w:r>
        <w:t xml:space="preserve"> </w:t>
      </w:r>
      <w:r>
        <w:t xml:space="preserve">contiguous grid-points whose correlation coefficients between the grid</w:t>
      </w:r>
      <w:r>
        <w:t xml:space="preserve"> </w:t>
      </w:r>
      <w:r>
        <w:t xml:space="preserve">point timeseries and the base point timeseries exceed 0.2. The variance</w:t>
      </w:r>
      <w:r>
        <w:t xml:space="preserve"> </w:t>
      </w:r>
      <w:r>
        <w:t xml:space="preserve">explained by the first base point is then subtracted from every grid</w:t>
      </w:r>
      <w:r>
        <w:t xml:space="preserve"> </w:t>
      </w:r>
      <w:r>
        <w:t xml:space="preserve">point in the domain, thus creating a new dataset (the residual). The</w:t>
      </w:r>
      <w:r>
        <w:t xml:space="preserve"> </w:t>
      </w:r>
      <w:r>
        <w:t xml:space="preserve">process was repeated for higher order sub-regions. It should be noted</w:t>
      </w:r>
      <w:r>
        <w:t xml:space="preserve"> </w:t>
      </w:r>
      <w:r>
        <w:t xml:space="preserve">that the order of the sub-region is not indicative of the relative</w:t>
      </w:r>
      <w:r>
        <w:t xml:space="preserve"> </w:t>
      </w:r>
      <w:r>
        <w:t xml:space="preserve">percentage of the total variance explained, and for the purposes here</w:t>
      </w:r>
      <w:r>
        <w:t xml:space="preserve"> </w:t>
      </w:r>
      <w:r>
        <w:t xml:space="preserve">the major interest is finding sub-regions of spatial co-variance rather</w:t>
      </w:r>
      <w:r>
        <w:t xml:space="preserve"> </w:t>
      </w:r>
      <w:r>
        <w:t xml:space="preserve">than quantifying variances explained. </w:t>
      </w:r>
      <w:r>
        <w:t xml:space="preserve"> </w:t>
      </w:r>
      <w:r>
        <w:t xml:space="preserve">Since the order in which the</w:t>
      </w:r>
      <w:r>
        <w:t xml:space="preserve"> </w:t>
      </w:r>
      <w:r>
        <w:t xml:space="preserve">sub-regions are identified is not physically important, the identified</w:t>
      </w:r>
      <w:r>
        <w:t xml:space="preserve"> </w:t>
      </w:r>
      <w:r>
        <w:t xml:space="preserve">sub-regions were renamed: for example, W1 represents sub-region 1 in WEA</w:t>
      </w:r>
      <w:r>
        <w:t xml:space="preserve"> </w:t>
      </w:r>
      <w:r>
        <w:t xml:space="preserve">and E1 represents sub-region 1 in EEA. </w:t>
      </w:r>
      <w:r>
        <w:t xml:space="preserve"> </w:t>
      </w:r>
      <w:r>
        <w:t xml:space="preserve">A more detailed description of</w:t>
      </w:r>
      <w:r>
        <w:t xml:space="preserve"> </w:t>
      </w:r>
      <w:r>
        <w:t xml:space="preserve">the modified EOT approach can be found</w:t>
      </w:r>
      <w:r>
        <w:t xml:space="preserve"> </w:t>
      </w:r>
      <w:r>
        <w:t xml:space="preserve">in </w:t>
      </w:r>
      <w:hyperlink r:id="rId36">
        <w:r>
          <w:rPr>
            <w:rStyle w:val="Hyperlink"/>
          </w:rPr>
          <w:t xml:space="preserve">Smith</w:t>
        </w:r>
        <w:r>
          <w:rPr>
            <w:rStyle w:val="Hyperlink"/>
          </w:rPr>
          <w:t xml:space="preserve"> </w:t>
        </w:r>
        <w:r>
          <w:rPr>
            <w:rStyle w:val="Hyperlink"/>
          </w:rPr>
          <w:t xml:space="preserve">(2004)</w:t>
        </w:r>
      </w:hyperlink>
      <w:r>
        <w:t xml:space="preserve"> and (Stephan et al., 2017). The use of the EOT algorithm enabled an</w:t>
      </w:r>
      <w:r>
        <w:t xml:space="preserve"> </w:t>
      </w:r>
      <w:r>
        <w:t xml:space="preserve">objective identification of sub-regions of similar daily precipitation</w:t>
      </w:r>
      <w:r>
        <w:t xml:space="preserve"> </w:t>
      </w:r>
      <w:r>
        <w:t xml:space="preserve">variability.  The dimensions of the various sub-regions identified are</w:t>
      </w:r>
      <w:r>
        <w:t xml:space="preserve"> </w:t>
      </w:r>
      <w:r>
        <w:t xml:space="preserve">the only outputs of the EOT analysis used in subsequent analysis. </w:t>
      </w:r>
    </w:p>
    <w:p>
      <w:pPr>
        <w:pStyle w:val="Heading2"/>
      </w:pPr>
      <w:bookmarkStart w:id="37" w:name="correlation-and-composite-analysis"/>
      <w:bookmarkEnd w:id="37"/>
      <w:r>
        <w:t xml:space="preserve">Correlation and Composite</w:t>
      </w:r>
      <w:r>
        <w:t xml:space="preserve"> </w:t>
      </w:r>
      <w:r>
        <w:t xml:space="preserve">Analysis</w:t>
      </w:r>
    </w:p>
    <w:p>
      <w:pPr>
        <w:pStyle w:val="FirstParagraph"/>
      </w:pPr>
      <w:r>
        <w:t xml:space="preserve">Correlation analysis is used for all pairs of sub-regions over various</w:t>
      </w:r>
      <w:r>
        <w:t xml:space="preserve"> </w:t>
      </w:r>
      <w:r>
        <w:t xml:space="preserve">lead/lag days in order to identify propagating signals. The</w:t>
      </w:r>
      <w:r>
        <w:t xml:space="preserve"> </w:t>
      </w:r>
      <w:r>
        <w:t xml:space="preserve">bootstrapping technique is used to test for the statistical significance</w:t>
      </w:r>
      <w:r>
        <w:t xml:space="preserve"> </w:t>
      </w:r>
      <w:r>
        <w:t xml:space="preserve">of the correlation coefficient between the area averaged timeseries of a</w:t>
      </w:r>
      <w:r>
        <w:t xml:space="preserve"> </w:t>
      </w:r>
      <w:r>
        <w:t xml:space="preserve">pair of sub-regions. For brevity, the timeseries for the sub-region in</w:t>
      </w:r>
      <w:r>
        <w:t xml:space="preserve"> </w:t>
      </w:r>
      <w:r>
        <w:t xml:space="preserve">WEA is referred to as A and that of the sub-region in EEA as B here. The</w:t>
      </w:r>
      <w:r>
        <w:t xml:space="preserve"> </w:t>
      </w:r>
      <w:r>
        <w:t xml:space="preserve">bootstrapping is done by holding A in its original order, and then, to</w:t>
      </w:r>
      <w:r>
        <w:t xml:space="preserve"> </w:t>
      </w:r>
      <w:r>
        <w:t xml:space="preserve">preserve the original synoptic-timescale autocorrelation of B, it is</w:t>
      </w:r>
      <w:r>
        <w:t xml:space="preserve"> </w:t>
      </w:r>
      <w:r>
        <w:t xml:space="preserve">divided into blocks of 100 days. A total of 1000 samples of B are</w:t>
      </w:r>
      <w:r>
        <w:t xml:space="preserve"> </w:t>
      </w:r>
      <w:r>
        <w:t xml:space="preserve">constructed by randomly drawing the blocks with replacement and</w:t>
      </w:r>
      <w:r>
        <w:t xml:space="preserve"> </w:t>
      </w:r>
      <w:r>
        <w:t xml:space="preserve">stitching the sampled blocks together so that each sample is the same</w:t>
      </w:r>
      <w:r>
        <w:t xml:space="preserve"> </w:t>
      </w:r>
      <w:r>
        <w:t xml:space="preserve">size as B. Time-series A is then correlated with every sample and the</w:t>
      </w:r>
      <w:r>
        <w:t xml:space="preserve"> </w:t>
      </w:r>
      <w:r>
        <w:t xml:space="preserve">95th percentile of the absolute value of these correlation coefficients</w:t>
      </w:r>
      <w:r>
        <w:t xml:space="preserve"> </w:t>
      </w:r>
      <w:r>
        <w:t xml:space="preserve">is determined. If the absolute value of a particular correlation</w:t>
      </w:r>
      <w:r>
        <w:t xml:space="preserve"> </w:t>
      </w:r>
      <w:r>
        <w:t xml:space="preserve">coefficient is greater than this 95th percentile, it is considered to be</w:t>
      </w:r>
      <w:r>
        <w:t xml:space="preserve"> </w:t>
      </w:r>
      <w:r>
        <w:t xml:space="preserve">statistically significant at the 95% confidence level.</w:t>
      </w:r>
    </w:p>
    <w:p>
      <w:pPr>
        <w:pStyle w:val="BodyText"/>
      </w:pPr>
      <w:r>
        <w:t xml:space="preserve">Composites are performed on events days that were selected by</w:t>
      </w:r>
      <w:r>
        <w:t xml:space="preserve"> </w:t>
      </w:r>
      <w:r>
        <w:t xml:space="preserve">considering a pair of sub-regions. So, for a given pair of sub-regions,</w:t>
      </w:r>
      <w:r>
        <w:t xml:space="preserve"> </w:t>
      </w:r>
      <w:r>
        <w:t xml:space="preserve">an</w:t>
      </w:r>
      <w:r>
        <w:t xml:space="preserve"> </w:t>
      </w:r>
      <w:r>
        <w:t xml:space="preserve">“</w:t>
      </w:r>
      <w:r>
        <w:t xml:space="preserve">event</w:t>
      </w:r>
      <w:r>
        <w:t xml:space="preserve">”</w:t>
      </w:r>
      <w:r>
        <w:t xml:space="preserve"> </w:t>
      </w:r>
      <w:r>
        <w:t xml:space="preserve">is defined as an occurrence of precipitation in excess of a</w:t>
      </w:r>
      <w:r>
        <w:t xml:space="preserve"> </w:t>
      </w:r>
      <w:r>
        <w:t xml:space="preserve">threshold over a sub-region in WEA which is followed, two days later, by</w:t>
      </w:r>
      <w:r>
        <w:t xml:space="preserve"> </w:t>
      </w:r>
      <w:r>
        <w:t xml:space="preserve">a precipitation occurrence above the corresponding paired sub-region’s</w:t>
      </w:r>
      <w:r>
        <w:t xml:space="preserve"> </w:t>
      </w:r>
      <w:r>
        <w:t xml:space="preserve">threshold recorded over EEA given that the previous day’s precipitation</w:t>
      </w:r>
      <w:r>
        <w:t xml:space="preserve"> </w:t>
      </w:r>
      <w:r>
        <w:t xml:space="preserve">record in the EEA sub-region was below the threshold. The thresholds</w:t>
      </w:r>
      <w:r>
        <w:t xml:space="preserve"> </w:t>
      </w:r>
      <w:r>
        <w:t xml:space="preserve">were determined by calculating the 66.7th percentile for each particular</w:t>
      </w:r>
      <w:r>
        <w:t xml:space="preserve"> </w:t>
      </w:r>
      <w:r>
        <w:t xml:space="preserve">sub-region. The area averaged timeseries of the anomalies of each</w:t>
      </w:r>
      <w:r>
        <w:t xml:space="preserve"> </w:t>
      </w:r>
      <w:r>
        <w:t xml:space="preserve">sub-region were used to compute the threshold for each sub-region. All</w:t>
      </w:r>
      <w:r>
        <w:t xml:space="preserve"> </w:t>
      </w:r>
      <w:r>
        <w:t xml:space="preserve">the days with zero area averaged raw precipitation amount were removed</w:t>
      </w:r>
      <w:r>
        <w:t xml:space="preserve"> </w:t>
      </w:r>
      <w:r>
        <w:t xml:space="preserve">before computing the thresholds.</w:t>
      </w:r>
    </w:p>
    <w:p>
      <w:pPr>
        <w:pStyle w:val="Heading1"/>
      </w:pPr>
      <w:bookmarkStart w:id="38" w:name="results"/>
      <w:bookmarkEnd w:id="38"/>
      <w:r>
        <w:t xml:space="preserve">Results</w:t>
      </w:r>
    </w:p>
    <w:p>
      <w:pPr>
        <w:pStyle w:val="Heading2"/>
      </w:pPr>
      <w:bookmarkStart w:id="39" w:name="identification-of-sub-regions"/>
      <w:bookmarkEnd w:id="39"/>
      <w:r>
        <w:t xml:space="preserve">Identification of</w:t>
      </w:r>
      <w:r>
        <w:t xml:space="preserve"> </w:t>
      </w:r>
      <w:r>
        <w:t xml:space="preserve">sub-regions</w:t>
      </w:r>
    </w:p>
    <w:p>
      <w:pPr>
        <w:pStyle w:val="FirstParagraph"/>
      </w:pPr>
      <w:r>
        <w:t xml:space="preserve">Daily TRMM anomalies for a 16-year period were subjected to the EOT and</w:t>
      </w:r>
      <w:r>
        <w:t xml:space="preserve"> </w:t>
      </w:r>
      <w:r>
        <w:t xml:space="preserve">a total of 32 sub-regions were identified. The robustness (in terms of</w:t>
      </w:r>
      <w:r>
        <w:t xml:space="preserve"> </w:t>
      </w:r>
      <w:r>
        <w:t xml:space="preserve">the identified sub-regions’ location) of using TRMM daily anomalies was</w:t>
      </w:r>
      <w:r>
        <w:t xml:space="preserve"> </w:t>
      </w:r>
      <w:r>
        <w:t xml:space="preserve">tested by subjecting 15 years of GPCP daily anomalies to the same EOT. </w:t>
      </w:r>
      <w:r>
        <w:t xml:space="preserve"> </w:t>
      </w:r>
      <w:r>
        <w:t xml:space="preserve">Figure 1 shows an example of the sub-regions identified using TRMM daily</w:t>
      </w:r>
      <w:r>
        <w:t xml:space="preserve"> </w:t>
      </w:r>
      <w:r>
        <w:t xml:space="preserve">anomalies.  Those identified using the GPCP dataset were generally in</w:t>
      </w:r>
      <w:r>
        <w:t xml:space="preserve"> </w:t>
      </w:r>
      <w:r>
        <w:t xml:space="preserve">similar locations as those shown in Figure 1 (not shown), so the fact</w:t>
      </w:r>
      <w:r>
        <w:t xml:space="preserve"> </w:t>
      </w:r>
      <w:r>
        <w:t xml:space="preserve">that the sub-regions identified using two independent data sets were</w:t>
      </w:r>
      <w:r>
        <w:t xml:space="preserve"> </w:t>
      </w:r>
      <w:r>
        <w:t xml:space="preserve">generally in similar locations provided confidence in the results. In</w:t>
      </w:r>
      <w:r>
        <w:t xml:space="preserve"> </w:t>
      </w:r>
      <w:r>
        <w:t xml:space="preserve">this study, the 29</w:t>
      </w:r>
      <w:r>
        <w:rPr>
          <w:vertAlign w:val="superscript"/>
        </w:rPr>
        <w:t xml:space="preserve">o</w:t>
      </w:r>
      <w:r>
        <w:t xml:space="preserve">E longitude was considered to</w:t>
      </w:r>
      <w:r>
        <w:t xml:space="preserve"> </w:t>
      </w:r>
      <w:r>
        <w:t xml:space="preserve">divide Equatorial Africa (15</w:t>
      </w:r>
      <w:r>
        <w:rPr>
          <w:vertAlign w:val="superscript"/>
        </w:rPr>
        <w:t xml:space="preserve">o</w:t>
      </w:r>
      <w:r>
        <w:t xml:space="preserve">S –</w:t>
      </w:r>
      <w:r>
        <w:t xml:space="preserve"> </w:t>
      </w:r>
      <w:r>
        <w:t xml:space="preserve">15</w:t>
      </w:r>
      <w:r>
        <w:rPr>
          <w:vertAlign w:val="superscript"/>
        </w:rPr>
        <w:t xml:space="preserve">o</w:t>
      </w:r>
      <w:r>
        <w:t xml:space="preserve">N, 8</w:t>
      </w:r>
      <w:r>
        <w:rPr>
          <w:vertAlign w:val="superscript"/>
        </w:rPr>
        <w:t xml:space="preserve">o</w:t>
      </w:r>
      <w:r>
        <w:t xml:space="preserve"> – 51</w:t>
      </w:r>
      <w:r>
        <w:rPr>
          <w:vertAlign w:val="superscript"/>
        </w:rPr>
        <w:t xml:space="preserve">o</w:t>
      </w:r>
      <w:r>
        <w:t xml:space="preserve">E)</w:t>
      </w:r>
      <w:r>
        <w:t xml:space="preserve"> </w:t>
      </w:r>
      <w:r>
        <w:t xml:space="preserve">into WEA and EEA. The sub-regions over the oceans and those whose</w:t>
      </w:r>
      <w:r>
        <w:t xml:space="preserve"> </w:t>
      </w:r>
      <w:r>
        <w:t xml:space="preserve">base-points were located on the 29</w:t>
      </w:r>
      <w:r>
        <w:rPr>
          <w:vertAlign w:val="superscript"/>
        </w:rPr>
        <w:t xml:space="preserve">o</w:t>
      </w:r>
      <w:r>
        <w:t xml:space="preserve">E longitude were</w:t>
      </w:r>
      <w:r>
        <w:t xml:space="preserve"> </w:t>
      </w:r>
      <w:r>
        <w:t xml:space="preserve">disregarded. Ultimately, a total of 17 sub-regions in WEA and 8 in EEA</w:t>
      </w:r>
      <w:r>
        <w:t xml:space="preserve"> </w:t>
      </w:r>
      <w:r>
        <w:t xml:space="preserve">were considered for further analysis. An example of these sub-regions is</w:t>
      </w:r>
      <w:r>
        <w:t xml:space="preserve"> </w:t>
      </w:r>
      <w:r>
        <w:t xml:space="preserve">shown in Figure 1, and all other sub-regions not in this figure are</w:t>
      </w:r>
      <w:r>
        <w:t xml:space="preserve"> </w:t>
      </w:r>
      <w:r>
        <w:t xml:space="preserve">indicated in Figure S1.</w:t>
      </w:r>
    </w:p>
    <w:p>
      <w:pPr>
        <w:pStyle w:val="BodyText"/>
      </w:pPr>
      <w:r>
        <w:br w:type="textWrapping"/>
      </w:r>
    </w:p>
    <w:p>
      <w:pPr>
        <w:pStyle w:val="FigureWithCaption"/>
      </w:pPr>
      <w:r>
        <w:drawing>
          <wp:inline>
            <wp:extent cx="5334000" cy="3077007"/>
            <wp:effectExtent b="0" l="0" r="0" t="0"/>
            <wp:docPr descr="Example of sub-regions identified by subjecting 16-years of daily TRMM anomalies to an EOT. The letter W attached to the number in the red sub-regions indicates that the sub-region is located in Western Equatorial Africa and E likewise for EEA.  Since the order in which these sub-regions were identified does not matter, they were renamed for clarity.     " title="" id="1" name="Picture"/>
            <a:graphic>
              <a:graphicData uri="http://schemas.openxmlformats.org/drawingml/2006/picture">
                <pic:pic>
                  <pic:nvPicPr>
                    <pic:cNvPr descr="figures/F-fig1/F-fig1.png" id="0" name="Picture"/>
                    <pic:cNvPicPr>
                      <a:picLocks noChangeArrowheads="1" noChangeAspect="1"/>
                    </pic:cNvPicPr>
                  </pic:nvPicPr>
                  <pic:blipFill>
                    <a:blip r:embed="rId40"/>
                    <a:stretch>
                      <a:fillRect/>
                    </a:stretch>
                  </pic:blipFill>
                  <pic:spPr bwMode="auto">
                    <a:xfrm>
                      <a:off x="0" y="0"/>
                      <a:ext cx="5334000" cy="3077007"/>
                    </a:xfrm>
                    <a:prstGeom prst="rect">
                      <a:avLst/>
                    </a:prstGeom>
                    <a:noFill/>
                    <a:ln w="9525">
                      <a:noFill/>
                      <a:headEnd/>
                      <a:tailEnd/>
                    </a:ln>
                  </pic:spPr>
                </pic:pic>
              </a:graphicData>
            </a:graphic>
          </wp:inline>
        </w:drawing>
      </w:r>
    </w:p>
    <w:p>
      <w:pPr>
        <w:pStyle w:val="ImageCaption"/>
      </w:pPr>
      <w:r>
        <w:t xml:space="preserve">Example of sub-regions identified by subjecting 16-years of daily TRMM</w:t>
      </w:r>
      <w:r>
        <w:t xml:space="preserve"> </w:t>
      </w:r>
      <w:r>
        <w:t xml:space="preserve">anomalies to an EOT. The letter</w:t>
      </w:r>
      <w:r>
        <w:t xml:space="preserve"> </w:t>
      </w:r>
      <w:r>
        <w:t xml:space="preserve">“</w:t>
      </w:r>
      <w:r>
        <w:t xml:space="preserve">W</w:t>
      </w:r>
      <w:r>
        <w:t xml:space="preserve">”</w:t>
      </w:r>
      <w:r>
        <w:t xml:space="preserve"> </w:t>
      </w:r>
      <w:r>
        <w:t xml:space="preserve">attached to the number in the red</w:t>
      </w:r>
      <w:r>
        <w:t xml:space="preserve"> </w:t>
      </w:r>
      <w:r>
        <w:t xml:space="preserve">sub-regions indicates that the sub-region is located in Western</w:t>
      </w:r>
      <w:r>
        <w:t xml:space="preserve"> </w:t>
      </w:r>
      <w:r>
        <w:t xml:space="preserve">Equatorial Africa and</w:t>
      </w:r>
      <w:r>
        <w:t xml:space="preserve"> </w:t>
      </w:r>
      <w:r>
        <w:t xml:space="preserve">“</w:t>
      </w:r>
      <w:r>
        <w:t xml:space="preserve">E</w:t>
      </w:r>
      <w:r>
        <w:t xml:space="preserve">”</w:t>
      </w:r>
      <w:r>
        <w:t xml:space="preserve"> </w:t>
      </w:r>
      <w:r>
        <w:t xml:space="preserve">likewise for EEA.  Since the order in which</w:t>
      </w:r>
      <w:r>
        <w:t xml:space="preserve"> </w:t>
      </w:r>
      <w:r>
        <w:t xml:space="preserve">these sub-regions were identified does not matter, they were renamed for</w:t>
      </w:r>
      <w:r>
        <w:t xml:space="preserve"> </w:t>
      </w:r>
      <w:r>
        <w:t xml:space="preserve">clarity.</w:t>
      </w:r>
      <w:r>
        <w:t xml:space="preserve"> </w:t>
      </w:r>
      <w:r>
        <w:rPr>
          <w:i/>
        </w:rPr>
        <w:t xml:space="preserve"> </w:t>
      </w:r>
      <w:r>
        <w:t xml:space="preserve"> </w:t>
      </w:r>
      <w:r>
        <w:t xml:space="preserve"> </w:t>
      </w:r>
      <w:r>
        <w:t xml:space="preserve"> </w:t>
      </w:r>
    </w:p>
    <w:p>
      <w:pPr>
        <w:pStyle w:val="BodyText"/>
      </w:pPr>
      <w:r>
        <w:br w:type="textWrapping"/>
      </w:r>
      <w:r>
        <w:br w:type="textWrapping"/>
      </w:r>
    </w:p>
    <w:p>
      <w:pPr>
        <w:pStyle w:val="Heading2"/>
      </w:pPr>
      <w:bookmarkStart w:id="41" w:name="leadlag-correlation"/>
      <w:bookmarkEnd w:id="41"/>
      <w:r>
        <w:t xml:space="preserve">Lead/lag correlation</w:t>
      </w:r>
    </w:p>
    <w:p>
      <w:pPr>
        <w:pStyle w:val="FirstParagraph"/>
      </w:pPr>
      <w:r>
        <w:t xml:space="preserve">Correlation coefficients between the area average timeseries of TRMM</w:t>
      </w:r>
      <w:r>
        <w:t xml:space="preserve"> </w:t>
      </w:r>
      <w:r>
        <w:t xml:space="preserve">rainfall anomalies of each sub-region in EEA with every sub-region in</w:t>
      </w:r>
      <w:r>
        <w:t xml:space="preserve"> </w:t>
      </w:r>
      <w:r>
        <w:t xml:space="preserve">WEA for lead/lag -5 to +5 days</w:t>
      </w:r>
      <w:r>
        <w:t xml:space="preserve"> </w:t>
      </w:r>
      <w:r>
        <w:t xml:space="preserve">over the entire 16 years</w:t>
      </w:r>
      <w:r>
        <w:t xml:space="preserve"> </w:t>
      </w:r>
      <w:r>
        <w:t xml:space="preserve">were</w:t>
      </w:r>
      <w:r>
        <w:t xml:space="preserve"> </w:t>
      </w:r>
      <w:r>
        <w:t xml:space="preserve">calculated. Since there were 17 sub-regions identified in WEA and 8</w:t>
      </w:r>
      <w:r>
        <w:t xml:space="preserve"> </w:t>
      </w:r>
      <w:r>
        <w:t xml:space="preserve">sub-regions in EEA, there is a total of 136 different pairs of</w:t>
      </w:r>
      <w:r>
        <w:t xml:space="preserve"> </w:t>
      </w:r>
      <w:r>
        <w:t xml:space="preserve">timeseries on which lead/lag correlation coefficients were calculated.</w:t>
      </w:r>
      <w:r>
        <w:t xml:space="preserve"> </w:t>
      </w:r>
      <w:r>
        <w:t xml:space="preserve">Sub-regions E1 and E2 indicated the strongest correlation coefficients</w:t>
      </w:r>
      <w:r>
        <w:t xml:space="preserve"> </w:t>
      </w:r>
      <w:r>
        <w:t xml:space="preserve">when correlated with the various sub-regions in WEA. Figure 2 shows peak</w:t>
      </w:r>
      <w:r>
        <w:t xml:space="preserve"> </w:t>
      </w:r>
      <w:r>
        <w:t xml:space="preserve">correlation coefficients at lag +1–2 days followed by a local minimum</w:t>
      </w:r>
      <w:r>
        <w:t xml:space="preserve"> </w:t>
      </w:r>
      <w:r>
        <w:t xml:space="preserve">on lag +3–4 days. E1 (in Fig. 2a) shows a peak correlation with W1-3</w:t>
      </w:r>
      <w:r>
        <w:t xml:space="preserve"> </w:t>
      </w:r>
      <w:r>
        <w:t xml:space="preserve">around ~ lag +1-2 (for W3 there is also positive peak at</w:t>
      </w:r>
      <w:r>
        <w:t xml:space="preserve"> </w:t>
      </w:r>
      <w:r>
        <w:t xml:space="preserve">lag -3 day). In comparison with Figure 2a, there is a peak correlation</w:t>
      </w:r>
      <w:r>
        <w:t xml:space="preserve"> </w:t>
      </w:r>
      <w:r>
        <w:t xml:space="preserve">coefficient on both sides of lag 0 in Figure 2b. This indicates an</w:t>
      </w:r>
      <w:r>
        <w:t xml:space="preserve"> </w:t>
      </w:r>
      <w:r>
        <w:t xml:space="preserve">oscillation of with a period of few days.</w:t>
      </w:r>
    </w:p>
    <w:p>
      <w:pPr>
        <w:pStyle w:val="FigureWithCaption"/>
      </w:pPr>
      <w:r>
        <w:drawing>
          <wp:inline>
            <wp:extent cx="5334000" cy="2135942"/>
            <wp:effectExtent b="0" l="0" r="0" t="0"/>
            <wp:docPr descr="Lead/lag correlation coefficients of 16-year daily TRMM precipitation anomalies for (a) E1 versus W1, W3 and W4  (b) E2 versus W1, W2, W3 and W5.  A positive lag implies that EEA is lagging. Only pairs of sub-regions whose maximum correlation coefficient is statistically significant at the 95% level are shown.   " title="" id="1" name="Picture"/>
            <a:graphic>
              <a:graphicData uri="http://schemas.openxmlformats.org/drawingml/2006/picture">
                <pic:pic>
                  <pic:nvPicPr>
                    <pic:cNvPr descr="figures/F-fig2/F-fig2.png" id="0" name="Picture"/>
                    <pic:cNvPicPr>
                      <a:picLocks noChangeArrowheads="1" noChangeAspect="1"/>
                    </pic:cNvPicPr>
                  </pic:nvPicPr>
                  <pic:blipFill>
                    <a:blip r:embed="rId42"/>
                    <a:stretch>
                      <a:fillRect/>
                    </a:stretch>
                  </pic:blipFill>
                  <pic:spPr bwMode="auto">
                    <a:xfrm>
                      <a:off x="0" y="0"/>
                      <a:ext cx="5334000" cy="2135942"/>
                    </a:xfrm>
                    <a:prstGeom prst="rect">
                      <a:avLst/>
                    </a:prstGeom>
                    <a:noFill/>
                    <a:ln w="9525">
                      <a:noFill/>
                      <a:headEnd/>
                      <a:tailEnd/>
                    </a:ln>
                  </pic:spPr>
                </pic:pic>
              </a:graphicData>
            </a:graphic>
          </wp:inline>
        </w:drawing>
      </w:r>
    </w:p>
    <w:p>
      <w:pPr>
        <w:pStyle w:val="ImageCaption"/>
      </w:pPr>
      <w:r>
        <w:t xml:space="preserve">Lead/lag correlation coefficients of 16-year daily TRMM precipitation</w:t>
      </w:r>
      <w:r>
        <w:t xml:space="preserve"> </w:t>
      </w:r>
      <w:r>
        <w:t xml:space="preserve">anomalies for (a) E1 versus W1, W3 and W4  (b) E2 versus W1, W2, W3 and</w:t>
      </w:r>
      <w:r>
        <w:t xml:space="preserve"> </w:t>
      </w:r>
      <w:r>
        <w:t xml:space="preserve">W5.  A positive lag implies that EEA is lagging. Only pairs of</w:t>
      </w:r>
      <w:r>
        <w:t xml:space="preserve"> </w:t>
      </w:r>
      <w:r>
        <w:t xml:space="preserve">sub-regions whose maximum correlation coefficient is statistically</w:t>
      </w:r>
      <w:r>
        <w:t xml:space="preserve"> </w:t>
      </w:r>
      <w:r>
        <w:t xml:space="preserve">significant at the 95% level are shown.  </w:t>
      </w:r>
      <w:r>
        <w:t xml:space="preserve"> </w:t>
      </w:r>
    </w:p>
    <w:p>
      <w:pPr>
        <w:pStyle w:val="BodyText"/>
      </w:pPr>
      <w:r>
        <w:t xml:space="preserve">The precipitation anomalies were also divided into four seasons</w:t>
      </w:r>
      <w:r>
        <w:t xml:space="preserve"> </w:t>
      </w:r>
      <w:r>
        <w:t xml:space="preserve">consisting of March-May (MAM), June -August (JJA), September-November</w:t>
      </w:r>
      <w:r>
        <w:t xml:space="preserve"> </w:t>
      </w:r>
      <w:r>
        <w:t xml:space="preserve">(SON) and December-February (DJF), and lead/lag correlation coefficients</w:t>
      </w:r>
      <w:r>
        <w:t xml:space="preserve"> </w:t>
      </w:r>
      <w:r>
        <w:t xml:space="preserve">over the various sub-regions were recalculated. The peak of the</w:t>
      </w:r>
      <w:r>
        <w:t xml:space="preserve"> </w:t>
      </w:r>
      <w:r>
        <w:t xml:space="preserve">correlation coefficients was seen at similar lead/lag days as shown in</w:t>
      </w:r>
      <w:r>
        <w:t xml:space="preserve"> </w:t>
      </w:r>
      <w:r>
        <w:t xml:space="preserve">Table 1 and Table 2.</w:t>
      </w:r>
    </w:p>
    <w:p>
      <w:pPr>
        <w:pStyle w:val="BodyText"/>
      </w:pPr>
      <w:r>
        <w:rPr>
          <w:i/>
        </w:rPr>
        <w:t xml:space="preserve"> </w:t>
      </w:r>
    </w:p>
    <w:p>
      <w:pPr>
        <w:pStyle w:val="BodyText"/>
      </w:pPr>
      <w:r>
        <w:t xml:space="preserve">Further analysis on the peak correlation coefficients seen in Figure 2</w:t>
      </w:r>
      <w:r>
        <w:t xml:space="preserve"> </w:t>
      </w:r>
      <w:r>
        <w:t xml:space="preserve">is done by identifying the strongest correlation at each lag day and the</w:t>
      </w:r>
      <w:r>
        <w:t xml:space="preserve"> </w:t>
      </w:r>
      <w:r>
        <w:t xml:space="preserve">associated pair of sub-regions.  Figure_ED shows shows the pair of</w:t>
      </w:r>
      <w:r>
        <w:t xml:space="preserve"> </w:t>
      </w:r>
      <w:r>
        <w:t xml:space="preserve">sub-regions that is characterised by the strongest correlation</w:t>
      </w:r>
      <w:r>
        <w:t xml:space="preserve"> </w:t>
      </w:r>
      <w:r>
        <w:t xml:space="preserve">coefficient at various lag days. It can be seen in this figure that</w:t>
      </w:r>
      <w:r>
        <w:t xml:space="preserve"> </w:t>
      </w:r>
      <w:r>
        <w:t xml:space="preserve">sub-region E1 indicates the strongest correlation coefficient at lag day</w:t>
      </w:r>
      <w:r>
        <w:t xml:space="preserve"> </w:t>
      </w:r>
      <w:r>
        <w:t xml:space="preserve">+2 with 47% of the sub-regions in WEA and likewise 12% at lag day +1.</w:t>
      </w:r>
      <w:r>
        <w:t xml:space="preserve"> </w:t>
      </w:r>
      <w:r>
        <w:t xml:space="preserve">Furthermore, compared to all the other sub-regions in WEA, Figure_ED</w:t>
      </w:r>
      <w:r>
        <w:t xml:space="preserve"> </w:t>
      </w:r>
      <w:r>
        <w:t xml:space="preserve">shows the strongest correlation coefficient between E1 and W3 at lag day</w:t>
      </w:r>
      <w:r>
        <w:t xml:space="preserve"> </w:t>
      </w:r>
      <w:r>
        <w:t xml:space="preserve">+2.  Subsequent work looks at E1 in more detail because it indicated the</w:t>
      </w:r>
      <w:r>
        <w:t xml:space="preserve"> </w:t>
      </w:r>
      <w:r>
        <w:t xml:space="preserve">highest number of sub-regions in WEA with which it exhibits the</w:t>
      </w:r>
      <w:r>
        <w:t xml:space="preserve"> </w:t>
      </w:r>
      <w:r>
        <w:t xml:space="preserve">strongest correlation coefficient. Emphasis is placed on E1 and W3 as</w:t>
      </w:r>
      <w:r>
        <w:t xml:space="preserve"> </w:t>
      </w:r>
      <w:r>
        <w:t xml:space="preserve">these sub-regions further show the strongest correlation coefficient.</w:t>
      </w:r>
      <w:r>
        <w:t xml:space="preserve"> </w:t>
      </w:r>
      <w:r>
        <w:t xml:space="preserve">From Figure_ED, E2 and E5 indicates strongest correlation coefficients</w:t>
      </w:r>
      <w:r>
        <w:t xml:space="preserve"> </w:t>
      </w:r>
      <w:r>
        <w:t xml:space="preserve">at lag day +1 with 30% of the sub-regions in WEA.  Over the continuum</w:t>
      </w:r>
      <w:r>
        <w:t xml:space="preserve"> </w:t>
      </w:r>
      <w:r>
        <w:t xml:space="preserve">of lag days 0 to +4, Figure_ED suggests that the strongest correlation</w:t>
      </w:r>
      <w:r>
        <w:t xml:space="preserve"> </w:t>
      </w:r>
      <w:r>
        <w:t xml:space="preserve">are seen on lag day+1 and +2.   </w:t>
      </w:r>
    </w:p>
    <w:p>
      <w:pPr>
        <w:pStyle w:val="BodyText"/>
      </w:pPr>
      <w:r>
        <w:br w:type="textWrapping"/>
      </w:r>
      <w:r>
        <w:t xml:space="preserve"> </w:t>
      </w:r>
      <w:r>
        <w:t xml:space="preserve">Table 1 and Table 2 show example results obtained by correlating area</w:t>
      </w:r>
      <w:r>
        <w:t xml:space="preserve"> </w:t>
      </w:r>
      <w:r>
        <w:t xml:space="preserve">average timeseries for E1 and E2 with every sub-region in WEA</w:t>
      </w:r>
      <w:r>
        <w:t xml:space="preserve"> </w:t>
      </w:r>
      <w:r>
        <w:t xml:space="preserve">respectively. In the subsequent sections, a discussion of why E2</w:t>
      </w:r>
      <w:r>
        <w:t xml:space="preserve"> </w:t>
      </w:r>
      <w:r>
        <w:t xml:space="preserve">warranted further analysis is given.</w:t>
      </w:r>
    </w:p>
    <w:p>
      <w:pPr>
        <w:pStyle w:val="BodyText"/>
      </w:pPr>
      <w:r>
        <w:br w:type="textWrapping"/>
      </w:r>
    </w:p>
    <w:p>
      <w:pPr>
        <w:pStyle w:val="TableCaption"/>
      </w:pPr>
      <w:r>
        <w:t xml:space="preserve">The lead/lag correlation coefficients and the corresponding lead/lag between sub-region E1 and various sub-regions in WEA. The correlation coefficients are statistically significant at the 95% level.</w:t>
      </w:r>
    </w:p>
    <w:tbl>
      <w:tblPr>
        <w:tblStyle w:val="TableNormal"/>
        <w:tblW w:type="pct" w:w="0.0"/>
        <w:tblLook w:firstRow="1"/>
        <w:tblCaption w:val="The lead/lag correlation coefficients and the corresponding lead/lag between sub-region E1 and various sub-regions in WEA. The correlation coefficients are statistically significant at the 95% level."/>
      </w:tblPr>
      <w:tblGrid/>
      <w:tr>
        <w:trPr>
          <w:cnfStyle w:firstRow="1"/>
        </w:trPr>
        <w:tc>
          <w:tcPr>
            <w:tcBorders>
              <w:bottom w:val="single"/>
            </w:tcBorders>
            <w:vAlign w:val="bottom"/>
          </w:tcPr>
          <w:p>
            <w:pPr>
              <w:pStyle w:val="Compact"/>
              <w:jc w:val="center"/>
            </w:pPr>
            <w:r>
              <w:rPr>
                <w:b/>
              </w:rPr>
              <w:t xml:space="preserve">E1 vs</w:t>
            </w:r>
          </w:p>
        </w:tc>
        <w:tc>
          <w:tcPr>
            <w:tcBorders>
              <w:bottom w:val="single"/>
            </w:tcBorders>
            <w:vAlign w:val="bottom"/>
          </w:tcPr>
          <w:p>
            <w:pPr>
              <w:pStyle w:val="Compact"/>
              <w:jc w:val="center"/>
            </w:pPr>
            <w:r>
              <w:rPr>
                <w:b/>
              </w:rPr>
              <w:t xml:space="preserve">min corr</w:t>
            </w:r>
          </w:p>
        </w:tc>
        <w:tc>
          <w:tcPr>
            <w:tcBorders>
              <w:bottom w:val="single"/>
            </w:tcBorders>
            <w:vAlign w:val="bottom"/>
          </w:tcPr>
          <w:p>
            <w:pPr>
              <w:pStyle w:val="Compact"/>
              <w:jc w:val="center"/>
            </w:pPr>
            <w:r>
              <w:rPr>
                <w:b/>
              </w:rPr>
              <w:t xml:space="preserve">lag @ min corr</w:t>
            </w:r>
          </w:p>
        </w:tc>
        <w:tc>
          <w:tcPr>
            <w:tcBorders>
              <w:bottom w:val="single"/>
            </w:tcBorders>
            <w:vAlign w:val="bottom"/>
          </w:tcPr>
          <w:p>
            <w:pPr>
              <w:pStyle w:val="Compact"/>
              <w:jc w:val="center"/>
            </w:pPr>
            <w:r>
              <w:rPr>
                <w:b/>
              </w:rPr>
              <w:t xml:space="preserve">max corr</w:t>
            </w:r>
          </w:p>
        </w:tc>
        <w:tc>
          <w:tcPr>
            <w:tcBorders>
              <w:bottom w:val="single"/>
            </w:tcBorders>
            <w:vAlign w:val="bottom"/>
          </w:tcPr>
          <w:p>
            <w:pPr>
              <w:pStyle w:val="Compact"/>
              <w:jc w:val="center"/>
            </w:pPr>
            <w:r>
              <w:rPr>
                <w:b/>
              </w:rPr>
              <w:t xml:space="preserve">lag @ max corr</w:t>
            </w:r>
          </w:p>
        </w:tc>
      </w:tr>
      <w:tr>
        <w:tc>
          <w:p>
            <w:pPr>
              <w:pStyle w:val="Compact"/>
              <w:jc w:val="center"/>
            </w:pPr>
            <w:r>
              <w:t xml:space="preserve">W1</w:t>
            </w:r>
          </w:p>
        </w:tc>
        <w:tc>
          <w:p>
            <w:pPr>
              <w:pStyle w:val="Compact"/>
              <w:jc w:val="center"/>
            </w:pPr>
            <w:r>
              <w:t xml:space="preserve">-0.085</w:t>
            </w:r>
          </w:p>
        </w:tc>
        <w:tc>
          <w:p>
            <w:pPr>
              <w:pStyle w:val="Compact"/>
              <w:jc w:val="center"/>
            </w:pPr>
            <w:r>
              <w:t xml:space="preserve">0</w:t>
            </w:r>
          </w:p>
        </w:tc>
        <w:tc>
          <w:p>
            <w:pPr>
              <w:pStyle w:val="Compact"/>
              <w:jc w:val="center"/>
            </w:pPr>
            <w:r>
              <w:t xml:space="preserve">0.120</w:t>
            </w:r>
          </w:p>
        </w:tc>
        <w:tc>
          <w:p>
            <w:pPr>
              <w:pStyle w:val="Compact"/>
              <w:jc w:val="center"/>
            </w:pPr>
            <w:r>
              <w:t xml:space="preserve">2</w:t>
            </w:r>
          </w:p>
        </w:tc>
      </w:tr>
      <w:tr>
        <w:tc>
          <w:p>
            <w:pPr>
              <w:pStyle w:val="Compact"/>
              <w:jc w:val="center"/>
            </w:pPr>
            <w:r>
              <w:t xml:space="preserve">W2</w:t>
            </w:r>
          </w:p>
        </w:tc>
        <w:tc>
          <w:p>
            <w:pPr>
              <w:pStyle w:val="Compact"/>
              <w:jc w:val="center"/>
            </w:pPr>
            <w:r>
              <w:t xml:space="preserve">-0.094</w:t>
            </w:r>
          </w:p>
        </w:tc>
        <w:tc>
          <w:p>
            <w:pPr>
              <w:pStyle w:val="Compact"/>
              <w:jc w:val="center"/>
            </w:pPr>
            <w:r>
              <w:t xml:space="preserve">0</w:t>
            </w:r>
          </w:p>
        </w:tc>
        <w:tc>
          <w:p>
            <w:pPr>
              <w:pStyle w:val="Compact"/>
              <w:jc w:val="center"/>
            </w:pPr>
            <w:r>
              <w:t xml:space="preserve">0.049</w:t>
            </w:r>
          </w:p>
        </w:tc>
        <w:tc>
          <w:p>
            <w:pPr>
              <w:pStyle w:val="Compact"/>
              <w:jc w:val="center"/>
            </w:pPr>
            <w:r>
              <w:t xml:space="preserve">1</w:t>
            </w:r>
          </w:p>
        </w:tc>
      </w:tr>
      <w:tr>
        <w:tc>
          <w:p>
            <w:pPr>
              <w:pStyle w:val="Compact"/>
              <w:jc w:val="center"/>
            </w:pPr>
            <w:r>
              <w:t xml:space="preserve">W3</w:t>
            </w:r>
          </w:p>
        </w:tc>
        <w:tc>
          <w:p>
            <w:pPr>
              <w:pStyle w:val="Compact"/>
              <w:jc w:val="center"/>
            </w:pPr>
            <w:r>
              <w:t xml:space="preserve">-0.042</w:t>
            </w:r>
          </w:p>
        </w:tc>
        <w:tc>
          <w:p>
            <w:pPr>
              <w:pStyle w:val="Compact"/>
              <w:jc w:val="center"/>
            </w:pPr>
            <w:r>
              <w:t xml:space="preserve">0</w:t>
            </w:r>
          </w:p>
        </w:tc>
        <w:tc>
          <w:p>
            <w:pPr>
              <w:pStyle w:val="Compact"/>
              <w:jc w:val="center"/>
            </w:pPr>
            <w:r>
              <w:t xml:space="preserve">0.129</w:t>
            </w:r>
          </w:p>
        </w:tc>
        <w:tc>
          <w:p>
            <w:pPr>
              <w:pStyle w:val="Compact"/>
              <w:jc w:val="center"/>
            </w:pPr>
            <w:r>
              <w:t xml:space="preserve">2</w:t>
            </w:r>
          </w:p>
        </w:tc>
      </w:tr>
      <w:tr>
        <w:tc>
          <w:p>
            <w:pPr>
              <w:pStyle w:val="Compact"/>
              <w:jc w:val="center"/>
            </w:pPr>
            <w:r>
              <w:t xml:space="preserve">W4</w:t>
            </w:r>
          </w:p>
        </w:tc>
        <w:tc>
          <w:p>
            <w:pPr>
              <w:pStyle w:val="Compact"/>
              <w:jc w:val="center"/>
            </w:pPr>
            <w:r>
              <w:t xml:space="preserve">-0.072</w:t>
            </w:r>
          </w:p>
        </w:tc>
        <w:tc>
          <w:p>
            <w:pPr>
              <w:pStyle w:val="Compact"/>
              <w:jc w:val="center"/>
            </w:pPr>
            <w:r>
              <w:t xml:space="preserve">-1</w:t>
            </w:r>
          </w:p>
        </w:tc>
        <w:tc>
          <w:p>
            <w:pPr>
              <w:pStyle w:val="Compact"/>
              <w:jc w:val="center"/>
            </w:pPr>
            <w:r>
              <w:t xml:space="preserve">0.172</w:t>
            </w:r>
          </w:p>
        </w:tc>
        <w:tc>
          <w:p>
            <w:pPr>
              <w:pStyle w:val="Compact"/>
              <w:jc w:val="center"/>
            </w:pPr>
            <w:r>
              <w:t xml:space="preserve">1</w:t>
            </w:r>
          </w:p>
        </w:tc>
      </w:tr>
      <w:tr>
        <w:tc>
          <w:p>
            <w:pPr>
              <w:pStyle w:val="Compact"/>
              <w:jc w:val="center"/>
            </w:pPr>
            <w:r>
              <w:t xml:space="preserve">W5</w:t>
            </w:r>
          </w:p>
        </w:tc>
        <w:tc>
          <w:p>
            <w:pPr>
              <w:pStyle w:val="Compact"/>
              <w:jc w:val="center"/>
            </w:pPr>
            <w:r>
              <w:t xml:space="preserve">-0.111</w:t>
            </w:r>
          </w:p>
        </w:tc>
        <w:tc>
          <w:p>
            <w:pPr>
              <w:pStyle w:val="Compact"/>
              <w:jc w:val="center"/>
            </w:pPr>
            <w:r>
              <w:t xml:space="preserve">0</w:t>
            </w:r>
          </w:p>
        </w:tc>
        <w:tc>
          <w:p>
            <w:pPr>
              <w:pStyle w:val="Compact"/>
              <w:jc w:val="center"/>
            </w:pPr>
            <w:r>
              <w:t xml:space="preserve">0.091</w:t>
            </w:r>
          </w:p>
        </w:tc>
        <w:tc>
          <w:p>
            <w:pPr>
              <w:pStyle w:val="Compact"/>
              <w:jc w:val="center"/>
            </w:pPr>
            <w:r>
              <w:t xml:space="preserve">2</w:t>
            </w:r>
          </w:p>
        </w:tc>
      </w:tr>
      <w:tr>
        <w:tc>
          <w:p>
            <w:pPr>
              <w:pStyle w:val="Compact"/>
              <w:jc w:val="center"/>
            </w:pPr>
            <w:r>
              <w:t xml:space="preserve">W6</w:t>
            </w:r>
          </w:p>
        </w:tc>
        <w:tc>
          <w:p>
            <w:pPr>
              <w:pStyle w:val="Compact"/>
              <w:jc w:val="center"/>
            </w:pPr>
            <w:r>
              <w:t xml:space="preserve">-0.044</w:t>
            </w:r>
          </w:p>
        </w:tc>
        <w:tc>
          <w:p>
            <w:pPr>
              <w:pStyle w:val="Compact"/>
              <w:jc w:val="center"/>
            </w:pPr>
            <w:r>
              <w:t xml:space="preserve">0</w:t>
            </w:r>
          </w:p>
        </w:tc>
        <w:tc>
          <w:p>
            <w:pPr>
              <w:pStyle w:val="Compact"/>
              <w:jc w:val="center"/>
            </w:pPr>
            <w:r>
              <w:t xml:space="preserve">0.061</w:t>
            </w:r>
          </w:p>
        </w:tc>
        <w:tc>
          <w:p>
            <w:pPr>
              <w:pStyle w:val="Compact"/>
              <w:jc w:val="center"/>
            </w:pPr>
            <w:r>
              <w:t xml:space="preserve">2</w:t>
            </w:r>
          </w:p>
        </w:tc>
      </w:tr>
      <w:tr>
        <w:tc>
          <w:p>
            <w:pPr>
              <w:pStyle w:val="Compact"/>
              <w:jc w:val="center"/>
            </w:pPr>
            <w:r>
              <w:t xml:space="preserve">W7</w:t>
            </w:r>
          </w:p>
        </w:tc>
        <w:tc>
          <w:p>
            <w:pPr>
              <w:pStyle w:val="Compact"/>
              <w:jc w:val="center"/>
            </w:pPr>
            <w:r>
              <w:t xml:space="preserve">-0.095</w:t>
            </w:r>
          </w:p>
        </w:tc>
        <w:tc>
          <w:p>
            <w:pPr>
              <w:pStyle w:val="Compact"/>
              <w:jc w:val="center"/>
            </w:pPr>
            <w:r>
              <w:t xml:space="preserve">0</w:t>
            </w:r>
          </w:p>
        </w:tc>
        <w:tc>
          <w:p>
            <w:pPr>
              <w:pStyle w:val="Compact"/>
              <w:jc w:val="center"/>
            </w:pPr>
            <w:r>
              <w:t xml:space="preserve">0.093</w:t>
            </w:r>
          </w:p>
        </w:tc>
        <w:tc>
          <w:p>
            <w:pPr>
              <w:pStyle w:val="Compact"/>
              <w:jc w:val="center"/>
            </w:pPr>
            <w:r>
              <w:t xml:space="preserve">3</w:t>
            </w:r>
          </w:p>
        </w:tc>
      </w:tr>
      <w:tr>
        <w:tc>
          <w:p>
            <w:pPr>
              <w:pStyle w:val="Compact"/>
              <w:jc w:val="center"/>
            </w:pPr>
            <w:r>
              <w:t xml:space="preserve">W8</w:t>
            </w:r>
          </w:p>
        </w:tc>
        <w:tc>
          <w:p>
            <w:pPr>
              <w:pStyle w:val="Compact"/>
              <w:jc w:val="center"/>
            </w:pPr>
            <w:r>
              <w:t xml:space="preserve">-0.084</w:t>
            </w:r>
          </w:p>
        </w:tc>
        <w:tc>
          <w:p>
            <w:pPr>
              <w:pStyle w:val="Compact"/>
              <w:jc w:val="center"/>
            </w:pPr>
            <w:r>
              <w:t xml:space="preserve">1</w:t>
            </w:r>
          </w:p>
        </w:tc>
        <w:tc>
          <w:p>
            <w:pPr>
              <w:pStyle w:val="Compact"/>
              <w:jc w:val="center"/>
            </w:pPr>
            <w:r>
              <w:t xml:space="preserve">0.068</w:t>
            </w:r>
          </w:p>
        </w:tc>
        <w:tc>
          <w:p>
            <w:pPr>
              <w:pStyle w:val="Compact"/>
              <w:jc w:val="center"/>
            </w:pPr>
            <w:r>
              <w:t xml:space="preserve">3</w:t>
            </w:r>
          </w:p>
        </w:tc>
      </w:tr>
      <w:tr>
        <w:tc>
          <w:p>
            <w:pPr>
              <w:pStyle w:val="Compact"/>
              <w:jc w:val="center"/>
            </w:pPr>
            <w:r>
              <w:t xml:space="preserve">W9</w:t>
            </w:r>
          </w:p>
        </w:tc>
        <w:tc>
          <w:p>
            <w:pPr>
              <w:pStyle w:val="Compact"/>
              <w:jc w:val="center"/>
            </w:pPr>
            <w:r>
              <w:t xml:space="preserve">-0.030</w:t>
            </w:r>
          </w:p>
        </w:tc>
        <w:tc>
          <w:p>
            <w:pPr>
              <w:pStyle w:val="Compact"/>
              <w:jc w:val="center"/>
            </w:pPr>
            <w:r>
              <w:t xml:space="preserve">0</w:t>
            </w:r>
          </w:p>
        </w:tc>
        <w:tc>
          <w:p>
            <w:pPr>
              <w:pStyle w:val="Compact"/>
              <w:jc w:val="center"/>
            </w:pPr>
            <w:r>
              <w:t xml:space="preserve">0.064</w:t>
            </w:r>
          </w:p>
        </w:tc>
        <w:tc>
          <w:p>
            <w:pPr>
              <w:pStyle w:val="Compact"/>
              <w:jc w:val="center"/>
            </w:pPr>
            <w:r>
              <w:t xml:space="preserve">1</w:t>
            </w:r>
          </w:p>
        </w:tc>
      </w:tr>
      <w:tr>
        <w:tc>
          <w:p>
            <w:pPr>
              <w:pStyle w:val="Compact"/>
              <w:jc w:val="center"/>
            </w:pPr>
            <w:r>
              <w:t xml:space="preserve">W10</w:t>
            </w:r>
          </w:p>
        </w:tc>
        <w:tc>
          <w:p>
            <w:pPr>
              <w:pStyle w:val="Compact"/>
              <w:jc w:val="center"/>
            </w:pPr>
            <w:r>
              <w:t xml:space="preserve">-0.129</w:t>
            </w:r>
          </w:p>
        </w:tc>
        <w:tc>
          <w:p>
            <w:pPr>
              <w:pStyle w:val="Compact"/>
              <w:jc w:val="center"/>
            </w:pPr>
            <w:r>
              <w:t xml:space="preserve">-1</w:t>
            </w:r>
          </w:p>
        </w:tc>
        <w:tc>
          <w:p>
            <w:pPr>
              <w:pStyle w:val="Compact"/>
              <w:jc w:val="center"/>
            </w:pPr>
            <w:r>
              <w:t xml:space="preserve">0.133</w:t>
            </w:r>
          </w:p>
        </w:tc>
        <w:tc>
          <w:p>
            <w:pPr>
              <w:pStyle w:val="Compact"/>
              <w:jc w:val="center"/>
            </w:pPr>
            <w:r>
              <w:t xml:space="preserve">1</w:t>
            </w:r>
          </w:p>
        </w:tc>
      </w:tr>
      <w:tr>
        <w:tc>
          <w:p>
            <w:pPr>
              <w:pStyle w:val="Compact"/>
              <w:jc w:val="center"/>
            </w:pPr>
            <w:r>
              <w:t xml:space="preserve">W11</w:t>
            </w:r>
          </w:p>
        </w:tc>
        <w:tc>
          <w:p>
            <w:pPr>
              <w:pStyle w:val="Compact"/>
              <w:jc w:val="center"/>
            </w:pPr>
            <w:r>
              <w:t xml:space="preserve">-0.094</w:t>
            </w:r>
          </w:p>
        </w:tc>
        <w:tc>
          <w:p>
            <w:pPr>
              <w:pStyle w:val="Compact"/>
              <w:jc w:val="center"/>
            </w:pPr>
            <w:r>
              <w:t xml:space="preserve">1</w:t>
            </w:r>
          </w:p>
        </w:tc>
        <w:tc>
          <w:p>
            <w:pPr>
              <w:pStyle w:val="Compact"/>
              <w:jc w:val="center"/>
            </w:pPr>
            <w:r>
              <w:t xml:space="preserve">0.088</w:t>
            </w:r>
          </w:p>
        </w:tc>
        <w:tc>
          <w:p>
            <w:pPr>
              <w:pStyle w:val="Compact"/>
              <w:jc w:val="center"/>
            </w:pPr>
            <w:r>
              <w:t xml:space="preserve">2</w:t>
            </w:r>
          </w:p>
        </w:tc>
      </w:tr>
      <w:tr>
        <w:tc>
          <w:p>
            <w:pPr>
              <w:pStyle w:val="Compact"/>
              <w:jc w:val="center"/>
            </w:pPr>
            <w:r>
              <w:t xml:space="preserve">W12</w:t>
            </w:r>
          </w:p>
        </w:tc>
        <w:tc>
          <w:p>
            <w:pPr>
              <w:pStyle w:val="Compact"/>
              <w:jc w:val="center"/>
            </w:pPr>
            <w:r>
              <w:t xml:space="preserve">-0.036</w:t>
            </w:r>
          </w:p>
        </w:tc>
        <w:tc>
          <w:p>
            <w:pPr>
              <w:pStyle w:val="Compact"/>
              <w:jc w:val="center"/>
            </w:pPr>
            <w:r>
              <w:t xml:space="preserve">0</w:t>
            </w:r>
          </w:p>
        </w:tc>
        <w:tc>
          <w:p>
            <w:pPr>
              <w:pStyle w:val="Compact"/>
              <w:jc w:val="center"/>
            </w:pPr>
            <w:r>
              <w:t xml:space="preserve">0.085</w:t>
            </w:r>
          </w:p>
        </w:tc>
        <w:tc>
          <w:p>
            <w:pPr>
              <w:pStyle w:val="Compact"/>
              <w:jc w:val="center"/>
            </w:pPr>
            <w:r>
              <w:t xml:space="preserve">2</w:t>
            </w:r>
          </w:p>
        </w:tc>
      </w:tr>
      <w:tr>
        <w:tc>
          <w:p>
            <w:pPr>
              <w:pStyle w:val="Compact"/>
              <w:jc w:val="center"/>
            </w:pPr>
            <w:r>
              <w:t xml:space="preserve">W13</w:t>
            </w:r>
          </w:p>
        </w:tc>
        <w:tc>
          <w:p>
            <w:pPr>
              <w:pStyle w:val="Compact"/>
              <w:jc w:val="center"/>
            </w:pPr>
            <w:r>
              <w:t xml:space="preserve">-0.025</w:t>
            </w:r>
          </w:p>
        </w:tc>
        <w:tc>
          <w:p>
            <w:pPr>
              <w:pStyle w:val="Compact"/>
              <w:jc w:val="center"/>
            </w:pPr>
            <w:r>
              <w:t xml:space="preserve">0</w:t>
            </w:r>
          </w:p>
        </w:tc>
        <w:tc>
          <w:p>
            <w:pPr>
              <w:pStyle w:val="Compact"/>
              <w:jc w:val="center"/>
            </w:pPr>
            <w:r>
              <w:t xml:space="preserve">0.050</w:t>
            </w:r>
          </w:p>
        </w:tc>
        <w:tc>
          <w:p>
            <w:pPr>
              <w:pStyle w:val="Compact"/>
              <w:jc w:val="center"/>
            </w:pPr>
            <w:r>
              <w:t xml:space="preserve">2</w:t>
            </w:r>
          </w:p>
        </w:tc>
      </w:tr>
      <w:tr>
        <w:tc>
          <w:p>
            <w:pPr>
              <w:pStyle w:val="Compact"/>
              <w:jc w:val="center"/>
            </w:pPr>
            <w:r>
              <w:t xml:space="preserve">W14</w:t>
            </w:r>
          </w:p>
        </w:tc>
        <w:tc>
          <w:p>
            <w:pPr>
              <w:pStyle w:val="Compact"/>
              <w:jc w:val="center"/>
            </w:pPr>
            <w:r>
              <w:t xml:space="preserve">-0.063</w:t>
            </w:r>
          </w:p>
        </w:tc>
        <w:tc>
          <w:p>
            <w:pPr>
              <w:pStyle w:val="Compact"/>
              <w:jc w:val="center"/>
            </w:pPr>
            <w:r>
              <w:t xml:space="preserve">0</w:t>
            </w:r>
          </w:p>
        </w:tc>
        <w:tc>
          <w:p>
            <w:pPr>
              <w:pStyle w:val="Compact"/>
              <w:jc w:val="center"/>
            </w:pPr>
            <w:r>
              <w:t xml:space="preserve">0.109</w:t>
            </w:r>
          </w:p>
        </w:tc>
        <w:tc>
          <w:p>
            <w:pPr>
              <w:pStyle w:val="Compact"/>
              <w:jc w:val="center"/>
            </w:pPr>
            <w:r>
              <w:t xml:space="preserve">2</w:t>
            </w:r>
          </w:p>
        </w:tc>
      </w:tr>
      <w:tr>
        <w:tc>
          <w:p>
            <w:pPr>
              <w:pStyle w:val="Compact"/>
              <w:jc w:val="center"/>
            </w:pPr>
            <w:r>
              <w:t xml:space="preserve">W15</w:t>
            </w:r>
          </w:p>
        </w:tc>
        <w:tc>
          <w:p>
            <w:pPr>
              <w:pStyle w:val="Compact"/>
              <w:jc w:val="center"/>
            </w:pPr>
            <w:r>
              <w:t xml:space="preserve">-0.125</w:t>
            </w:r>
          </w:p>
        </w:tc>
        <w:tc>
          <w:p>
            <w:pPr>
              <w:pStyle w:val="Compact"/>
              <w:jc w:val="center"/>
            </w:pPr>
            <w:r>
              <w:t xml:space="preserve">-1</w:t>
            </w:r>
          </w:p>
        </w:tc>
        <w:tc>
          <w:p>
            <w:pPr>
              <w:pStyle w:val="Compact"/>
              <w:jc w:val="center"/>
            </w:pPr>
            <w:r>
              <w:t xml:space="preserve">0.151</w:t>
            </w:r>
          </w:p>
        </w:tc>
        <w:tc>
          <w:p>
            <w:pPr>
              <w:pStyle w:val="Compact"/>
              <w:jc w:val="center"/>
            </w:pPr>
            <w:r>
              <w:t xml:space="preserve">1</w:t>
            </w:r>
          </w:p>
        </w:tc>
      </w:tr>
      <w:tr>
        <w:tc>
          <w:p>
            <w:pPr>
              <w:pStyle w:val="Compact"/>
              <w:jc w:val="center"/>
            </w:pPr>
            <w:r>
              <w:t xml:space="preserve">W16</w:t>
            </w:r>
          </w:p>
        </w:tc>
        <w:tc>
          <w:p>
            <w:pPr>
              <w:pStyle w:val="Compact"/>
              <w:jc w:val="center"/>
            </w:pPr>
            <w:r>
              <w:t xml:space="preserve">-0.063</w:t>
            </w:r>
          </w:p>
        </w:tc>
        <w:tc>
          <w:p>
            <w:pPr>
              <w:pStyle w:val="Compact"/>
              <w:jc w:val="center"/>
            </w:pPr>
            <w:r>
              <w:t xml:space="preserve">0</w:t>
            </w:r>
          </w:p>
        </w:tc>
        <w:tc>
          <w:p>
            <w:pPr>
              <w:pStyle w:val="Compact"/>
              <w:jc w:val="center"/>
            </w:pPr>
            <w:r>
              <w:t xml:space="preserve">0.101</w:t>
            </w:r>
          </w:p>
        </w:tc>
        <w:tc>
          <w:p>
            <w:pPr>
              <w:pStyle w:val="Compact"/>
              <w:jc w:val="center"/>
            </w:pPr>
            <w:r>
              <w:t xml:space="preserve">2</w:t>
            </w:r>
          </w:p>
        </w:tc>
      </w:tr>
      <w:tr>
        <w:tc>
          <w:p>
            <w:pPr>
              <w:pStyle w:val="Compact"/>
              <w:jc w:val="center"/>
            </w:pPr>
            <w:r>
              <w:t xml:space="preserve">W17</w:t>
            </w:r>
          </w:p>
        </w:tc>
        <w:tc>
          <w:p>
            <w:pPr>
              <w:pStyle w:val="Compact"/>
              <w:jc w:val="center"/>
            </w:pPr>
            <w:r>
              <w:t xml:space="preserve">-0.090</w:t>
            </w:r>
          </w:p>
        </w:tc>
        <w:tc>
          <w:p>
            <w:pPr>
              <w:pStyle w:val="Compact"/>
              <w:jc w:val="center"/>
            </w:pPr>
            <w:r>
              <w:t xml:space="preserve">1</w:t>
            </w:r>
          </w:p>
        </w:tc>
        <w:tc>
          <w:p>
            <w:pPr>
              <w:pStyle w:val="Compact"/>
              <w:jc w:val="center"/>
            </w:pPr>
            <w:r>
              <w:t xml:space="preserve">0.055</w:t>
            </w:r>
          </w:p>
        </w:tc>
        <w:tc>
          <w:p>
            <w:pPr>
              <w:pStyle w:val="Compact"/>
              <w:jc w:val="center"/>
            </w:pPr>
            <w:r>
              <w:t xml:space="preserve">3</w:t>
            </w:r>
          </w:p>
        </w:tc>
      </w:tr>
    </w:tbl>
    <w:p>
      <w:pPr>
        <w:pStyle w:val="TableCaption"/>
      </w:pPr>
      <w:r>
        <w:t xml:space="preserve">The lead/lag correlation coefficients and the corresponding lead/lag between sub-region E2 and various sub-regions in WEA. The correlation coefficients are statistically significant at 95% level.</w:t>
      </w:r>
    </w:p>
    <w:tbl>
      <w:tblPr>
        <w:tblStyle w:val="TableNormal"/>
        <w:tblW w:type="pct" w:w="0.0"/>
        <w:tblLook w:firstRow="1"/>
        <w:tblCaption w:val="The lead/lag correlation coefficients and the corresponding lead/lag between sub-region E2 and various sub-regions in WEA. The correlation coefficients are statistically significant at 95% level."/>
      </w:tblPr>
      <w:tblGrid/>
      <w:tr>
        <w:trPr>
          <w:cnfStyle w:firstRow="1"/>
        </w:trPr>
        <w:tc>
          <w:tcPr>
            <w:tcBorders>
              <w:bottom w:val="single"/>
            </w:tcBorders>
            <w:vAlign w:val="bottom"/>
          </w:tcPr>
          <w:p>
            <w:pPr>
              <w:pStyle w:val="Compact"/>
              <w:jc w:val="center"/>
            </w:pPr>
            <w:r>
              <w:rPr>
                <w:b/>
              </w:rPr>
              <w:t xml:space="preserve">E2 vs</w:t>
            </w:r>
          </w:p>
        </w:tc>
        <w:tc>
          <w:tcPr>
            <w:tcBorders>
              <w:bottom w:val="single"/>
            </w:tcBorders>
            <w:vAlign w:val="bottom"/>
          </w:tcPr>
          <w:p>
            <w:pPr>
              <w:pStyle w:val="Compact"/>
              <w:jc w:val="center"/>
            </w:pPr>
            <w:r>
              <w:rPr>
                <w:b/>
              </w:rPr>
              <w:t xml:space="preserve">min corr</w:t>
            </w:r>
          </w:p>
        </w:tc>
        <w:tc>
          <w:tcPr>
            <w:tcBorders>
              <w:bottom w:val="single"/>
            </w:tcBorders>
            <w:vAlign w:val="bottom"/>
          </w:tcPr>
          <w:p>
            <w:pPr>
              <w:pStyle w:val="Compact"/>
              <w:jc w:val="center"/>
            </w:pPr>
            <w:r>
              <w:rPr>
                <w:b/>
              </w:rPr>
              <w:t xml:space="preserve">lag @ min corr</w:t>
            </w:r>
          </w:p>
        </w:tc>
        <w:tc>
          <w:tcPr>
            <w:tcBorders>
              <w:bottom w:val="single"/>
            </w:tcBorders>
            <w:vAlign w:val="bottom"/>
          </w:tcPr>
          <w:p>
            <w:pPr>
              <w:pStyle w:val="Compact"/>
              <w:jc w:val="center"/>
            </w:pPr>
            <w:r>
              <w:rPr>
                <w:b/>
              </w:rPr>
              <w:t xml:space="preserve">max corr</w:t>
            </w:r>
          </w:p>
        </w:tc>
        <w:tc>
          <w:tcPr>
            <w:tcBorders>
              <w:bottom w:val="single"/>
            </w:tcBorders>
            <w:vAlign w:val="bottom"/>
          </w:tcPr>
          <w:p>
            <w:pPr>
              <w:pStyle w:val="Compact"/>
              <w:jc w:val="center"/>
            </w:pPr>
            <w:r>
              <w:rPr>
                <w:b/>
              </w:rPr>
              <w:t xml:space="preserve">lag @ max corr</w:t>
            </w:r>
          </w:p>
        </w:tc>
      </w:tr>
      <w:tr>
        <w:tc>
          <w:p>
            <w:pPr>
              <w:pStyle w:val="Compact"/>
              <w:jc w:val="center"/>
            </w:pPr>
            <w:r>
              <w:t xml:space="preserve">W1</w:t>
            </w:r>
          </w:p>
        </w:tc>
        <w:tc>
          <w:p>
            <w:pPr>
              <w:pStyle w:val="Compact"/>
              <w:jc w:val="center"/>
            </w:pPr>
            <w:r>
              <w:t xml:space="preserve">-0.064</w:t>
            </w:r>
          </w:p>
        </w:tc>
        <w:tc>
          <w:p>
            <w:pPr>
              <w:pStyle w:val="Compact"/>
              <w:jc w:val="center"/>
            </w:pPr>
            <w:r>
              <w:t xml:space="preserve">0</w:t>
            </w:r>
          </w:p>
        </w:tc>
        <w:tc>
          <w:p>
            <w:pPr>
              <w:pStyle w:val="Compact"/>
              <w:jc w:val="center"/>
            </w:pPr>
            <w:r>
              <w:t xml:space="preserve">0.067</w:t>
            </w:r>
          </w:p>
        </w:tc>
        <w:tc>
          <w:p>
            <w:pPr>
              <w:pStyle w:val="Compact"/>
              <w:jc w:val="center"/>
            </w:pPr>
            <w:r>
              <w:t xml:space="preserve">2</w:t>
            </w:r>
          </w:p>
        </w:tc>
      </w:tr>
      <w:tr>
        <w:tc>
          <w:p>
            <w:pPr>
              <w:pStyle w:val="Compact"/>
              <w:jc w:val="center"/>
            </w:pPr>
            <w:r>
              <w:t xml:space="preserve">W2</w:t>
            </w:r>
          </w:p>
        </w:tc>
        <w:tc>
          <w:p>
            <w:pPr>
              <w:pStyle w:val="Compact"/>
              <w:jc w:val="center"/>
            </w:pPr>
            <w:r>
              <w:t xml:space="preserve">-0.074</w:t>
            </w:r>
          </w:p>
        </w:tc>
        <w:tc>
          <w:p>
            <w:pPr>
              <w:pStyle w:val="Compact"/>
              <w:jc w:val="center"/>
            </w:pPr>
            <w:r>
              <w:t xml:space="preserve">-2</w:t>
            </w:r>
          </w:p>
        </w:tc>
        <w:tc>
          <w:p>
            <w:pPr>
              <w:pStyle w:val="Compact"/>
              <w:jc w:val="center"/>
            </w:pPr>
            <w:r>
              <w:t xml:space="preserve">0.158</w:t>
            </w:r>
          </w:p>
        </w:tc>
        <w:tc>
          <w:p>
            <w:pPr>
              <w:pStyle w:val="Compact"/>
              <w:jc w:val="center"/>
            </w:pPr>
            <w:r>
              <w:t xml:space="preserve">1</w:t>
            </w:r>
          </w:p>
        </w:tc>
      </w:tr>
      <w:tr>
        <w:tc>
          <w:p>
            <w:pPr>
              <w:pStyle w:val="Compact"/>
              <w:jc w:val="center"/>
            </w:pPr>
            <w:r>
              <w:t xml:space="preserve">W3</w:t>
            </w:r>
          </w:p>
        </w:tc>
        <w:tc>
          <w:p>
            <w:pPr>
              <w:pStyle w:val="Compact"/>
              <w:jc w:val="center"/>
            </w:pPr>
            <w:r>
              <w:t xml:space="preserve">-0.055</w:t>
            </w:r>
          </w:p>
        </w:tc>
        <w:tc>
          <w:p>
            <w:pPr>
              <w:pStyle w:val="Compact"/>
              <w:jc w:val="center"/>
            </w:pPr>
            <w:r>
              <w:t xml:space="preserve">0</w:t>
            </w:r>
          </w:p>
        </w:tc>
        <w:tc>
          <w:p>
            <w:pPr>
              <w:pStyle w:val="Compact"/>
              <w:jc w:val="center"/>
            </w:pPr>
            <w:r>
              <w:t xml:space="preserve">0.063</w:t>
            </w:r>
          </w:p>
        </w:tc>
        <w:tc>
          <w:p>
            <w:pPr>
              <w:pStyle w:val="Compact"/>
              <w:jc w:val="center"/>
            </w:pPr>
            <w:r>
              <w:t xml:space="preserve">2</w:t>
            </w:r>
          </w:p>
        </w:tc>
      </w:tr>
      <w:tr>
        <w:tc>
          <w:p>
            <w:pPr>
              <w:pStyle w:val="Compact"/>
              <w:jc w:val="center"/>
            </w:pPr>
            <w:r>
              <w:t xml:space="preserve">W4</w:t>
            </w:r>
          </w:p>
        </w:tc>
        <w:tc>
          <w:p>
            <w:pPr>
              <w:pStyle w:val="Compact"/>
              <w:jc w:val="center"/>
            </w:pPr>
            <w:r>
              <w:t xml:space="preserve">-0.043</w:t>
            </w:r>
          </w:p>
        </w:tc>
        <w:tc>
          <w:p>
            <w:pPr>
              <w:pStyle w:val="Compact"/>
              <w:jc w:val="center"/>
            </w:pPr>
            <w:r>
              <w:t xml:space="preserve">3</w:t>
            </w:r>
          </w:p>
        </w:tc>
        <w:tc>
          <w:p>
            <w:pPr>
              <w:pStyle w:val="Compact"/>
              <w:jc w:val="center"/>
            </w:pPr>
            <w:r>
              <w:t xml:space="preserve">0.061</w:t>
            </w:r>
          </w:p>
        </w:tc>
        <w:tc>
          <w:p>
            <w:pPr>
              <w:pStyle w:val="Compact"/>
              <w:jc w:val="center"/>
            </w:pPr>
            <w:r>
              <w:t xml:space="preserve">1</w:t>
            </w:r>
          </w:p>
        </w:tc>
      </w:tr>
      <w:tr>
        <w:tc>
          <w:p>
            <w:pPr>
              <w:pStyle w:val="Compact"/>
              <w:jc w:val="center"/>
            </w:pPr>
            <w:r>
              <w:t xml:space="preserve">W5</w:t>
            </w:r>
          </w:p>
        </w:tc>
        <w:tc>
          <w:p>
            <w:pPr>
              <w:pStyle w:val="Compact"/>
              <w:jc w:val="center"/>
            </w:pPr>
            <w:r>
              <w:t xml:space="preserve">-0.107</w:t>
            </w:r>
          </w:p>
        </w:tc>
        <w:tc>
          <w:p>
            <w:pPr>
              <w:pStyle w:val="Compact"/>
              <w:jc w:val="center"/>
            </w:pPr>
            <w:r>
              <w:t xml:space="preserve">0</w:t>
            </w:r>
          </w:p>
        </w:tc>
        <w:tc>
          <w:p>
            <w:pPr>
              <w:pStyle w:val="Compact"/>
              <w:jc w:val="center"/>
            </w:pPr>
            <w:r>
              <w:t xml:space="preserve">0.123</w:t>
            </w:r>
          </w:p>
        </w:tc>
        <w:tc>
          <w:p>
            <w:pPr>
              <w:pStyle w:val="Compact"/>
              <w:jc w:val="center"/>
            </w:pPr>
            <w:r>
              <w:t xml:space="preserve">1</w:t>
            </w:r>
          </w:p>
        </w:tc>
      </w:tr>
      <w:tr>
        <w:tc>
          <w:p>
            <w:pPr>
              <w:pStyle w:val="Compact"/>
              <w:jc w:val="center"/>
            </w:pPr>
            <w:r>
              <w:t xml:space="preserve">W6</w:t>
            </w:r>
          </w:p>
        </w:tc>
        <w:tc>
          <w:p>
            <w:pPr>
              <w:pStyle w:val="Compact"/>
              <w:jc w:val="center"/>
            </w:pPr>
            <w:r>
              <w:t xml:space="preserve">-0.082</w:t>
            </w:r>
          </w:p>
        </w:tc>
        <w:tc>
          <w:p>
            <w:pPr>
              <w:pStyle w:val="Compact"/>
              <w:jc w:val="center"/>
            </w:pPr>
            <w:r>
              <w:t xml:space="preserve">0</w:t>
            </w:r>
          </w:p>
        </w:tc>
        <w:tc>
          <w:p>
            <w:pPr>
              <w:pStyle w:val="Compact"/>
              <w:jc w:val="center"/>
            </w:pPr>
            <w:r>
              <w:t xml:space="preserve">0.176</w:t>
            </w:r>
          </w:p>
        </w:tc>
        <w:tc>
          <w:p>
            <w:pPr>
              <w:pStyle w:val="Compact"/>
              <w:jc w:val="center"/>
            </w:pPr>
            <w:r>
              <w:t xml:space="preserve">1</w:t>
            </w:r>
          </w:p>
        </w:tc>
      </w:tr>
      <w:tr>
        <w:tc>
          <w:p>
            <w:pPr>
              <w:pStyle w:val="Compact"/>
              <w:jc w:val="center"/>
            </w:pPr>
            <w:r>
              <w:t xml:space="preserve">W7</w:t>
            </w:r>
          </w:p>
        </w:tc>
        <w:tc>
          <w:p>
            <w:pPr>
              <w:pStyle w:val="Compact"/>
              <w:jc w:val="center"/>
            </w:pPr>
            <w:r>
              <w:t xml:space="preserve">-0.024</w:t>
            </w:r>
          </w:p>
        </w:tc>
        <w:tc>
          <w:p>
            <w:pPr>
              <w:pStyle w:val="Compact"/>
              <w:jc w:val="center"/>
            </w:pPr>
            <w:r>
              <w:t xml:space="preserve">-1</w:t>
            </w:r>
          </w:p>
        </w:tc>
        <w:tc>
          <w:p>
            <w:pPr>
              <w:pStyle w:val="Compact"/>
              <w:jc w:val="center"/>
            </w:pPr>
            <w:r>
              <w:t xml:space="preserve">0.029</w:t>
            </w:r>
          </w:p>
        </w:tc>
        <w:tc>
          <w:p>
            <w:pPr>
              <w:pStyle w:val="Compact"/>
              <w:jc w:val="center"/>
            </w:pPr>
            <w:r>
              <w:t xml:space="preserve">2</w:t>
            </w:r>
          </w:p>
        </w:tc>
      </w:tr>
      <w:tr>
        <w:tc>
          <w:p>
            <w:pPr>
              <w:pStyle w:val="Compact"/>
              <w:jc w:val="center"/>
            </w:pPr>
            <w:r>
              <w:t xml:space="preserve">W8</w:t>
            </w:r>
          </w:p>
        </w:tc>
        <w:tc>
          <w:p>
            <w:pPr>
              <w:pStyle w:val="Compact"/>
              <w:jc w:val="center"/>
            </w:pPr>
            <w:r>
              <w:t xml:space="preserve">-0.152</w:t>
            </w:r>
          </w:p>
        </w:tc>
        <w:tc>
          <w:p>
            <w:pPr>
              <w:pStyle w:val="Compact"/>
              <w:jc w:val="center"/>
            </w:pPr>
            <w:r>
              <w:t xml:space="preserve">-2</w:t>
            </w:r>
          </w:p>
        </w:tc>
        <w:tc>
          <w:p>
            <w:pPr>
              <w:pStyle w:val="Compact"/>
              <w:jc w:val="center"/>
            </w:pPr>
            <w:r>
              <w:t xml:space="preserve">0.78</w:t>
            </w:r>
          </w:p>
        </w:tc>
        <w:tc>
          <w:p>
            <w:pPr>
              <w:pStyle w:val="Compact"/>
              <w:jc w:val="center"/>
            </w:pPr>
            <w:r>
              <w:t xml:space="preserve">0</w:t>
            </w:r>
          </w:p>
        </w:tc>
      </w:tr>
      <w:tr>
        <w:tc>
          <w:p>
            <w:pPr>
              <w:pStyle w:val="Compact"/>
              <w:jc w:val="center"/>
            </w:pPr>
            <w:r>
              <w:t xml:space="preserve">W9</w:t>
            </w:r>
          </w:p>
        </w:tc>
        <w:tc>
          <w:p>
            <w:pPr>
              <w:pStyle w:val="Compact"/>
              <w:jc w:val="center"/>
            </w:pPr>
            <w:r>
              <w:t xml:space="preserve">-0.061</w:t>
            </w:r>
          </w:p>
        </w:tc>
        <w:tc>
          <w:p>
            <w:pPr>
              <w:pStyle w:val="Compact"/>
              <w:jc w:val="center"/>
            </w:pPr>
            <w:r>
              <w:t xml:space="preserve">0</w:t>
            </w:r>
          </w:p>
        </w:tc>
        <w:tc>
          <w:p>
            <w:pPr>
              <w:pStyle w:val="Compact"/>
              <w:jc w:val="center"/>
            </w:pPr>
            <w:r>
              <w:t xml:space="preserve">0.098</w:t>
            </w:r>
          </w:p>
        </w:tc>
        <w:tc>
          <w:p>
            <w:pPr>
              <w:pStyle w:val="Compact"/>
              <w:jc w:val="center"/>
            </w:pPr>
            <w:r>
              <w:t xml:space="preserve">1</w:t>
            </w:r>
          </w:p>
        </w:tc>
      </w:tr>
      <w:tr>
        <w:tc>
          <w:p>
            <w:pPr>
              <w:pStyle w:val="Compact"/>
              <w:jc w:val="center"/>
            </w:pPr>
            <w:r>
              <w:t xml:space="preserve">W10</w:t>
            </w:r>
          </w:p>
        </w:tc>
        <w:tc>
          <w:p>
            <w:pPr>
              <w:pStyle w:val="Compact"/>
              <w:jc w:val="center"/>
            </w:pPr>
            <w:r>
              <w:t xml:space="preserve">-0.073</w:t>
            </w:r>
          </w:p>
        </w:tc>
        <w:tc>
          <w:p>
            <w:pPr>
              <w:pStyle w:val="Compact"/>
              <w:jc w:val="center"/>
            </w:pPr>
            <w:r>
              <w:t xml:space="preserve">3</w:t>
            </w:r>
          </w:p>
        </w:tc>
        <w:tc>
          <w:p>
            <w:pPr>
              <w:pStyle w:val="Compact"/>
              <w:jc w:val="center"/>
            </w:pPr>
            <w:r>
              <w:t xml:space="preserve">0.10</w:t>
            </w:r>
          </w:p>
        </w:tc>
        <w:tc>
          <w:p>
            <w:pPr>
              <w:pStyle w:val="Compact"/>
              <w:jc w:val="center"/>
            </w:pPr>
            <w:r>
              <w:t xml:space="preserve">1</w:t>
            </w:r>
          </w:p>
        </w:tc>
      </w:tr>
      <w:tr>
        <w:tc>
          <w:p>
            <w:pPr>
              <w:pStyle w:val="Compact"/>
              <w:jc w:val="center"/>
            </w:pPr>
            <w:r>
              <w:t xml:space="preserve">W11</w:t>
            </w:r>
          </w:p>
        </w:tc>
        <w:tc>
          <w:p>
            <w:pPr>
              <w:pStyle w:val="Compact"/>
              <w:jc w:val="center"/>
            </w:pPr>
            <w:r>
              <w:t xml:space="preserve">-0.068</w:t>
            </w:r>
          </w:p>
        </w:tc>
        <w:tc>
          <w:p>
            <w:pPr>
              <w:pStyle w:val="Compact"/>
              <w:jc w:val="center"/>
            </w:pPr>
            <w:r>
              <w:t xml:space="preserve">0</w:t>
            </w:r>
          </w:p>
        </w:tc>
        <w:tc>
          <w:p>
            <w:pPr>
              <w:pStyle w:val="Compact"/>
              <w:jc w:val="center"/>
            </w:pPr>
            <w:r>
              <w:t xml:space="preserve">0.079</w:t>
            </w:r>
          </w:p>
        </w:tc>
        <w:tc>
          <w:p>
            <w:pPr>
              <w:pStyle w:val="Compact"/>
              <w:jc w:val="center"/>
            </w:pPr>
            <w:r>
              <w:t xml:space="preserve">2</w:t>
            </w:r>
          </w:p>
        </w:tc>
      </w:tr>
      <w:tr>
        <w:tc>
          <w:p>
            <w:pPr>
              <w:pStyle w:val="Compact"/>
              <w:jc w:val="center"/>
            </w:pPr>
            <w:r>
              <w:t xml:space="preserve">W12</w:t>
            </w:r>
          </w:p>
        </w:tc>
        <w:tc>
          <w:p>
            <w:pPr>
              <w:pStyle w:val="Compact"/>
              <w:jc w:val="center"/>
            </w:pPr>
            <w:r>
              <w:t xml:space="preserve">-0.024</w:t>
            </w:r>
          </w:p>
        </w:tc>
        <w:tc>
          <w:p>
            <w:pPr>
              <w:pStyle w:val="Compact"/>
              <w:jc w:val="center"/>
            </w:pPr>
            <w:r>
              <w:t xml:space="preserve">3</w:t>
            </w:r>
          </w:p>
        </w:tc>
        <w:tc>
          <w:p>
            <w:pPr>
              <w:pStyle w:val="Compact"/>
              <w:jc w:val="center"/>
            </w:pPr>
            <w:r>
              <w:t xml:space="preserve">0.046</w:t>
            </w:r>
          </w:p>
        </w:tc>
        <w:tc>
          <w:p>
            <w:pPr>
              <w:pStyle w:val="Compact"/>
              <w:jc w:val="center"/>
            </w:pPr>
            <w:r>
              <w:t xml:space="preserve">2</w:t>
            </w:r>
          </w:p>
        </w:tc>
      </w:tr>
      <w:tr>
        <w:tc>
          <w:p>
            <w:pPr>
              <w:pStyle w:val="Compact"/>
              <w:jc w:val="center"/>
            </w:pPr>
            <w:r>
              <w:t xml:space="preserve">W13</w:t>
            </w:r>
          </w:p>
        </w:tc>
        <w:tc>
          <w:p>
            <w:pPr>
              <w:pStyle w:val="Compact"/>
              <w:jc w:val="center"/>
            </w:pPr>
            <w:r>
              <w:t xml:space="preserve">-0.056</w:t>
            </w:r>
          </w:p>
        </w:tc>
        <w:tc>
          <w:p>
            <w:pPr>
              <w:pStyle w:val="Compact"/>
              <w:jc w:val="center"/>
            </w:pPr>
            <w:r>
              <w:t xml:space="preserve">0</w:t>
            </w:r>
          </w:p>
        </w:tc>
        <w:tc>
          <w:p>
            <w:pPr>
              <w:pStyle w:val="Compact"/>
              <w:jc w:val="center"/>
            </w:pPr>
            <w:r>
              <w:t xml:space="preserve">0.154</w:t>
            </w:r>
          </w:p>
        </w:tc>
        <w:tc>
          <w:p>
            <w:pPr>
              <w:pStyle w:val="Compact"/>
              <w:jc w:val="center"/>
            </w:pPr>
            <w:r>
              <w:t xml:space="preserve">1</w:t>
            </w:r>
          </w:p>
        </w:tc>
      </w:tr>
      <w:tr>
        <w:tc>
          <w:p>
            <w:pPr>
              <w:pStyle w:val="Compact"/>
              <w:jc w:val="center"/>
            </w:pPr>
            <w:r>
              <w:t xml:space="preserve">W14</w:t>
            </w:r>
          </w:p>
        </w:tc>
        <w:tc>
          <w:p>
            <w:pPr>
              <w:pStyle w:val="Compact"/>
              <w:jc w:val="center"/>
            </w:pPr>
            <w:r>
              <w:t xml:space="preserve">-0.069</w:t>
            </w:r>
          </w:p>
        </w:tc>
        <w:tc>
          <w:p>
            <w:pPr>
              <w:pStyle w:val="Compact"/>
              <w:jc w:val="center"/>
            </w:pPr>
            <w:r>
              <w:t xml:space="preserve">0</w:t>
            </w:r>
          </w:p>
        </w:tc>
        <w:tc>
          <w:p>
            <w:pPr>
              <w:pStyle w:val="Compact"/>
              <w:jc w:val="center"/>
            </w:pPr>
            <w:r>
              <w:t xml:space="preserve">0.081</w:t>
            </w:r>
          </w:p>
        </w:tc>
        <w:tc>
          <w:p>
            <w:pPr>
              <w:pStyle w:val="Compact"/>
              <w:jc w:val="center"/>
            </w:pPr>
            <w:r>
              <w:t xml:space="preserve">2</w:t>
            </w:r>
          </w:p>
        </w:tc>
      </w:tr>
      <w:tr>
        <w:tc>
          <w:p>
            <w:pPr>
              <w:pStyle w:val="Compact"/>
              <w:jc w:val="center"/>
            </w:pPr>
            <w:r>
              <w:t xml:space="preserve">W15</w:t>
            </w:r>
          </w:p>
        </w:tc>
        <w:tc>
          <w:p>
            <w:pPr>
              <w:pStyle w:val="Compact"/>
              <w:jc w:val="center"/>
            </w:pPr>
            <w:r>
              <w:t xml:space="preserve">-0.045</w:t>
            </w:r>
          </w:p>
        </w:tc>
        <w:tc>
          <w:p>
            <w:pPr>
              <w:pStyle w:val="Compact"/>
              <w:jc w:val="center"/>
            </w:pPr>
            <w:r>
              <w:t xml:space="preserve">3</w:t>
            </w:r>
          </w:p>
        </w:tc>
        <w:tc>
          <w:p>
            <w:pPr>
              <w:pStyle w:val="Compact"/>
              <w:jc w:val="center"/>
            </w:pPr>
            <w:r>
              <w:t xml:space="preserve">0.069</w:t>
            </w:r>
          </w:p>
        </w:tc>
        <w:tc>
          <w:p>
            <w:pPr>
              <w:pStyle w:val="Compact"/>
              <w:jc w:val="center"/>
            </w:pPr>
            <w:r>
              <w:t xml:space="preserve">1</w:t>
            </w:r>
          </w:p>
        </w:tc>
      </w:tr>
      <w:tr>
        <w:tc>
          <w:p>
            <w:pPr>
              <w:pStyle w:val="Compact"/>
              <w:jc w:val="center"/>
            </w:pPr>
            <w:r>
              <w:t xml:space="preserve">W16</w:t>
            </w:r>
          </w:p>
        </w:tc>
        <w:tc>
          <w:p>
            <w:pPr>
              <w:pStyle w:val="Compact"/>
              <w:jc w:val="center"/>
            </w:pPr>
            <w:r>
              <w:t xml:space="preserve">-0.041</w:t>
            </w:r>
          </w:p>
        </w:tc>
        <w:tc>
          <w:p>
            <w:pPr>
              <w:pStyle w:val="Compact"/>
              <w:jc w:val="center"/>
            </w:pPr>
            <w:r>
              <w:t xml:space="preserve">0</w:t>
            </w:r>
          </w:p>
        </w:tc>
        <w:tc>
          <w:p>
            <w:pPr>
              <w:pStyle w:val="Compact"/>
              <w:jc w:val="center"/>
            </w:pPr>
            <w:r>
              <w:t xml:space="preserve">0.044</w:t>
            </w:r>
          </w:p>
        </w:tc>
        <w:tc>
          <w:p>
            <w:pPr>
              <w:pStyle w:val="Compact"/>
              <w:jc w:val="center"/>
            </w:pPr>
            <w:r>
              <w:t xml:space="preserve">2</w:t>
            </w:r>
          </w:p>
        </w:tc>
      </w:tr>
      <w:tr>
        <w:tc>
          <w:p>
            <w:pPr>
              <w:pStyle w:val="Compact"/>
              <w:jc w:val="center"/>
            </w:pPr>
            <w:r>
              <w:t xml:space="preserve">W17</w:t>
            </w:r>
          </w:p>
        </w:tc>
        <w:tc>
          <w:p>
            <w:pPr>
              <w:pStyle w:val="Compact"/>
              <w:jc w:val="center"/>
            </w:pPr>
            <w:r>
              <w:t xml:space="preserve">-0.028</w:t>
            </w:r>
          </w:p>
        </w:tc>
        <w:tc>
          <w:p>
            <w:pPr>
              <w:pStyle w:val="Compact"/>
              <w:jc w:val="center"/>
            </w:pPr>
            <w:r>
              <w:t xml:space="preserve">0</w:t>
            </w:r>
          </w:p>
        </w:tc>
        <w:tc>
          <w:p>
            <w:pPr>
              <w:pStyle w:val="Compact"/>
              <w:jc w:val="center"/>
            </w:pPr>
            <w:r>
              <w:t xml:space="preserve">0.077</w:t>
            </w:r>
          </w:p>
        </w:tc>
        <w:tc>
          <w:p>
            <w:pPr>
              <w:pStyle w:val="Compact"/>
              <w:jc w:val="center"/>
            </w:pPr>
            <w:r>
              <w:t xml:space="preserve">2</w:t>
            </w:r>
          </w:p>
        </w:tc>
      </w:tr>
    </w:tbl>
    <w:p>
      <w:pPr>
        <w:pStyle w:val="BodyText"/>
      </w:pPr>
      <w:r>
        <w:br w:type="textWrapping"/>
      </w:r>
      <w:r>
        <w:t xml:space="preserve">In Table 1 the strongest positive correlation coefficients are seen on</w:t>
      </w:r>
      <w:r>
        <w:t xml:space="preserve"> </w:t>
      </w:r>
      <w:r>
        <w:t xml:space="preserve">lag day +1 (i.e. E1 versus W4), and the positive correlation</w:t>
      </w:r>
      <w:r>
        <w:t xml:space="preserve"> </w:t>
      </w:r>
      <w:r>
        <w:t xml:space="preserve">coefficients on lag day +2 (i.e. E1 versus W1, E1 versus W3) are</w:t>
      </w:r>
      <w:r>
        <w:t xml:space="preserve"> </w:t>
      </w:r>
      <w:r>
        <w:t xml:space="preserve">generally weaker than those on lag day +1. This suggests a weakening of</w:t>
      </w:r>
      <w:r>
        <w:t xml:space="preserve"> </w:t>
      </w:r>
      <w:r>
        <w:t xml:space="preserve">the signal from lag day +1 into lag day +2. The strongest negative</w:t>
      </w:r>
      <w:r>
        <w:t xml:space="preserve"> </w:t>
      </w:r>
      <w:r>
        <w:t xml:space="preserve">correlation coefficients for some regions seen on lag day 0 in Table 1</w:t>
      </w:r>
      <w:r>
        <w:t xml:space="preserve"> </w:t>
      </w:r>
      <w:r>
        <w:t xml:space="preserve">and Table 2 suggest a contrasting relationship between the different</w:t>
      </w:r>
      <w:r>
        <w:t xml:space="preserve"> </w:t>
      </w:r>
      <w:r>
        <w:t xml:space="preserve">pairs of sub-regions. From Table 1, it can be seen that the magnitude of</w:t>
      </w:r>
      <w:r>
        <w:t xml:space="preserve"> </w:t>
      </w:r>
      <w:r>
        <w:t xml:space="preserve">the correlation coefficients is generally below 0.2. This is</w:t>
      </w:r>
      <w:r>
        <w:t xml:space="preserve"> </w:t>
      </w:r>
      <w:r>
        <w:t xml:space="preserve">unsurprising given the nature of daily precipitation variability.</w:t>
      </w:r>
    </w:p>
    <w:p>
      <w:pPr>
        <w:pStyle w:val="BodyText"/>
      </w:pPr>
      <w:r>
        <w:br w:type="textWrapping"/>
      </w:r>
      <w:r>
        <w:t xml:space="preserve">Results in Table 2 indicate that the strongest correlation occurs</w:t>
      </w:r>
      <w:r>
        <w:t xml:space="preserve"> </w:t>
      </w:r>
      <w:r>
        <w:t xml:space="preserve">between W8 and E2 (coefficient of 0.78) at day 0. Note that this pair of</w:t>
      </w:r>
      <w:r>
        <w:t xml:space="preserve"> </w:t>
      </w:r>
      <w:r>
        <w:t xml:space="preserve">sub-regions indicate the strongest negative correlation of -0.152 at lag</w:t>
      </w:r>
      <w:r>
        <w:t xml:space="preserve"> </w:t>
      </w:r>
      <w:r>
        <w:t xml:space="preserve">day -2. These strong correlation coefficients are a consequence of the</w:t>
      </w:r>
      <w:r>
        <w:t xml:space="preserve"> </w:t>
      </w:r>
      <w:r>
        <w:t xml:space="preserve">overlap between the two sub-regions (see Figure 1), but they also</w:t>
      </w:r>
      <w:r>
        <w:t xml:space="preserve"> </w:t>
      </w:r>
      <w:r>
        <w:t xml:space="preserve">highlight a synoptic-timescale oscillation with a period of a few days. </w:t>
      </w:r>
    </w:p>
    <w:p>
      <w:pPr>
        <w:pStyle w:val="BodyText"/>
      </w:pPr>
      <w:r>
        <w:br w:type="textWrapping"/>
      </w:r>
      <w:r>
        <w:t xml:space="preserve">To further understand the precipitation connection highlighted by the</w:t>
      </w:r>
      <w:r>
        <w:t xml:space="preserve"> </w:t>
      </w:r>
      <w:r>
        <w:t xml:space="preserve">peak correlation coefficient seen on lag day +1 and lag day +2 in Figure</w:t>
      </w:r>
      <w:r>
        <w:t xml:space="preserve"> </w:t>
      </w:r>
      <w:r>
        <w:t xml:space="preserve">2, the entire period (regardless of the season) was used to calculate a</w:t>
      </w:r>
      <w:r>
        <w:t xml:space="preserve"> </w:t>
      </w:r>
      <w:r>
        <w:t xml:space="preserve">spatio-temporal correlation coefficients pattern for lag 0, +1, +2, +3</w:t>
      </w:r>
      <w:r>
        <w:t xml:space="preserve"> </w:t>
      </w:r>
      <w:r>
        <w:t xml:space="preserve">and +4 over all the sub-regions in WEA. It is seen in Table 1 and</w:t>
      </w:r>
      <w:r>
        <w:t xml:space="preserve"> </w:t>
      </w:r>
      <w:r>
        <w:t xml:space="preserve">Figure1 that  W3 (7.4</w:t>
      </w:r>
      <w:r>
        <w:rPr>
          <w:vertAlign w:val="superscript"/>
        </w:rPr>
        <w:t xml:space="preserve">o</w:t>
      </w:r>
      <w:r>
        <w:t xml:space="preserve">S–3.4</w:t>
      </w:r>
      <w:r>
        <w:rPr>
          <w:vertAlign w:val="superscript"/>
        </w:rPr>
        <w:t xml:space="preserve">o</w:t>
      </w:r>
      <w:r>
        <w:t xml:space="preserve">S,</w:t>
      </w:r>
      <w:r>
        <w:t xml:space="preserve"> </w:t>
      </w:r>
      <w:r>
        <w:t xml:space="preserve">16.1</w:t>
      </w:r>
      <w:r>
        <w:rPr>
          <w:vertAlign w:val="superscript"/>
        </w:rPr>
        <w:t xml:space="preserve">o</w:t>
      </w:r>
      <w:r>
        <w:t xml:space="preserve">E–21.4</w:t>
      </w:r>
      <w:r>
        <w:rPr>
          <w:vertAlign w:val="superscript"/>
        </w:rPr>
        <w:t xml:space="preserve">o</w:t>
      </w:r>
      <w:r>
        <w:t xml:space="preserve">E) with E1</w:t>
      </w:r>
      <w:r>
        <w:t xml:space="preserve"> </w:t>
      </w:r>
      <w:r>
        <w:t xml:space="preserve">(2.1</w:t>
      </w:r>
      <w:r>
        <w:rPr>
          <w:vertAlign w:val="superscript"/>
        </w:rPr>
        <w:t xml:space="preserve">o</w:t>
      </w:r>
      <w:r>
        <w:t xml:space="preserve">S –2.1</w:t>
      </w:r>
      <w:r>
        <w:rPr>
          <w:vertAlign w:val="superscript"/>
        </w:rPr>
        <w:t xml:space="preserve">o</w:t>
      </w:r>
      <w:r>
        <w:t xml:space="preserve">N,</w:t>
      </w:r>
      <w:r>
        <w:t xml:space="preserve"> </w:t>
      </w:r>
      <w:r>
        <w:t xml:space="preserve">31.4</w:t>
      </w:r>
      <w:r>
        <w:rPr>
          <w:vertAlign w:val="superscript"/>
        </w:rPr>
        <w:t xml:space="preserve">o</w:t>
      </w:r>
      <w:r>
        <w:t xml:space="preserve">E–35.1</w:t>
      </w:r>
      <w:r>
        <w:rPr>
          <w:vertAlign w:val="superscript"/>
        </w:rPr>
        <w:t xml:space="preserve">o</w:t>
      </w:r>
      <w:r>
        <w:t xml:space="preserve">E) </w:t>
      </w:r>
      <w:r>
        <w:t xml:space="preserve">indicates the</w:t>
      </w:r>
      <w:r>
        <w:t xml:space="preserve"> </w:t>
      </w:r>
      <w:r>
        <w:t xml:space="preserve">strongest significant correlation coefficient at lag +2 days</w:t>
      </w:r>
      <w:r>
        <w:t xml:space="preserve">. The</w:t>
      </w:r>
      <w:r>
        <w:t xml:space="preserve"> </w:t>
      </w:r>
      <w:r>
        <w:t xml:space="preserve">spatio-temporal correlation coefficient pattern between W3’s area</w:t>
      </w:r>
      <w:r>
        <w:t xml:space="preserve"> </w:t>
      </w:r>
      <w:r>
        <w:t xml:space="preserve">average time-series and every grid point is shown in Figure 3. This</w:t>
      </w:r>
      <w:r>
        <w:t xml:space="preserve"> </w:t>
      </w:r>
      <w:r>
        <w:t xml:space="preserve">figure shows strongest negative correlation coefficients on day +1 when</w:t>
      </w:r>
      <w:r>
        <w:t xml:space="preserve"> </w:t>
      </w:r>
      <w:r>
        <w:t xml:space="preserve">the eastward/northeastward propagating signal progresses from W3 and</w:t>
      </w:r>
      <w:r>
        <w:t xml:space="preserve"> </w:t>
      </w:r>
      <w:r>
        <w:t xml:space="preserve">propagates to a region with </w:t>
      </w:r>
      <w:r>
        <w:t xml:space="preserve">  approximate centroid,</w:t>
      </w:r>
      <w:r>
        <w:t xml:space="preserve"> </w:t>
      </w:r>
      <w:r>
        <w:t xml:space="preserve">5</w:t>
      </w:r>
      <w:r>
        <w:rPr>
          <w:vertAlign w:val="superscript"/>
        </w:rPr>
        <w:t xml:space="preserve">o</w:t>
      </w:r>
      <w:r>
        <w:t xml:space="preserve">S, 25</w:t>
      </w:r>
      <w:r>
        <w:rPr>
          <w:vertAlign w:val="superscript"/>
        </w:rPr>
        <w:t xml:space="preserve">o</w:t>
      </w:r>
      <w:r>
        <w:t xml:space="preserve">E (over W4) and then on day</w:t>
      </w:r>
      <w:r>
        <w:t xml:space="preserve"> </w:t>
      </w:r>
      <w:r>
        <w:t xml:space="preserve">+2 when the positive strongest correlation coefficient advances to</w:t>
      </w:r>
      <w:r>
        <w:t xml:space="preserve"> </w:t>
      </w:r>
      <w:r>
        <w:t xml:space="preserve">further east to a region with approximate centroid,</w:t>
      </w:r>
      <w:r>
        <w:t xml:space="preserve"> </w:t>
      </w:r>
      <w:r>
        <w:t xml:space="preserve">3</w:t>
      </w:r>
      <w:r>
        <w:rPr>
          <w:vertAlign w:val="superscript"/>
        </w:rPr>
        <w:t xml:space="preserve">o</w:t>
      </w:r>
      <w:r>
        <w:t xml:space="preserve">N, 33</w:t>
      </w:r>
      <w:r>
        <w:rPr>
          <w:vertAlign w:val="superscript"/>
        </w:rPr>
        <w:t xml:space="preserve">o</w:t>
      </w:r>
      <w:r>
        <w:t xml:space="preserve">E (over E1 ). </w:t>
      </w:r>
      <w:r>
        <w:t xml:space="preserve">By day +3</w:t>
      </w:r>
      <w:r>
        <w:t xml:space="preserve"> </w:t>
      </w:r>
      <w:r>
        <w:t xml:space="preserve">(and also day +4; not shown), the signal becomes weak and almost</w:t>
      </w:r>
      <w:r>
        <w:t xml:space="preserve"> </w:t>
      </w:r>
      <w:r>
        <w:t xml:space="preserve">non-existent, suggesting a short lived signal.  The pattern seen in</w:t>
      </w:r>
      <w:r>
        <w:t xml:space="preserve"> </w:t>
      </w:r>
      <w:r>
        <w:t xml:space="preserve">Figure 3 suggests a coherent eastward propagating signal with a synoptic</w:t>
      </w:r>
      <w:r>
        <w:t xml:space="preserve"> </w:t>
      </w:r>
      <w:r>
        <w:t xml:space="preserve">spatial and temporal scale.</w:t>
      </w:r>
    </w:p>
    <w:p>
      <w:pPr>
        <w:pStyle w:val="FigureWithCaption"/>
      </w:pPr>
      <w:r>
        <w:drawing>
          <wp:inline>
            <wp:extent cx="5334000" cy="2834907"/>
            <wp:effectExtent b="0" l="0" r="0" t="0"/>
            <wp:docPr descr="Correlation coefficients between area average time series based on 16-years of TRMM daily precipitation anomalies over W3 and every grid point in the domain for (a) day 0 (b) day +1, (c) day +2, (d) day +3. Only correlation coefficients that are statistically significant at 5% level are shown. " title="" id="1" name="Picture"/>
            <a:graphic>
              <a:graphicData uri="http://schemas.openxmlformats.org/drawingml/2006/picture">
                <pic:pic>
                  <pic:nvPicPr>
                    <pic:cNvPr descr="figures/figure3-new/fig3.png" id="0" name="Picture"/>
                    <pic:cNvPicPr>
                      <a:picLocks noChangeArrowheads="1" noChangeAspect="1"/>
                    </pic:cNvPicPr>
                  </pic:nvPicPr>
                  <pic:blipFill>
                    <a:blip r:embed="rId43"/>
                    <a:stretch>
                      <a:fillRect/>
                    </a:stretch>
                  </pic:blipFill>
                  <pic:spPr bwMode="auto">
                    <a:xfrm>
                      <a:off x="0" y="0"/>
                      <a:ext cx="5334000" cy="2834907"/>
                    </a:xfrm>
                    <a:prstGeom prst="rect">
                      <a:avLst/>
                    </a:prstGeom>
                    <a:noFill/>
                    <a:ln w="9525">
                      <a:noFill/>
                      <a:headEnd/>
                      <a:tailEnd/>
                    </a:ln>
                  </pic:spPr>
                </pic:pic>
              </a:graphicData>
            </a:graphic>
          </wp:inline>
        </w:drawing>
      </w:r>
    </w:p>
    <w:p>
      <w:pPr>
        <w:pStyle w:val="ImageCaption"/>
      </w:pPr>
      <w:r>
        <w:t xml:space="preserve">Correlation coefficients between area average time series based on</w:t>
      </w:r>
      <w:r>
        <w:t xml:space="preserve"> </w:t>
      </w:r>
      <w:r>
        <w:t xml:space="preserve">16-years of TRMM daily precipitation anomalies over W3 and every grid</w:t>
      </w:r>
      <w:r>
        <w:t xml:space="preserve"> </w:t>
      </w:r>
      <w:r>
        <w:t xml:space="preserve">point in the domain for (a) day 0 (b) day +1, (c) day +2, (d) day +3.</w:t>
      </w:r>
      <w:r>
        <w:t xml:space="preserve"> </w:t>
      </w:r>
      <w:r>
        <w:t xml:space="preserve">Only correlation coefficients that are statistically significant at 5%</w:t>
      </w:r>
      <w:r>
        <w:t xml:space="preserve"> </w:t>
      </w:r>
      <w:r>
        <w:t xml:space="preserve">level are shown.</w:t>
      </w:r>
      <w:r>
        <w:t xml:space="preserve"> </w:t>
      </w:r>
    </w:p>
    <w:p>
      <w:pPr>
        <w:pStyle w:val="BodyText"/>
      </w:pPr>
      <w:r>
        <w:t xml:space="preserve">Figure 3 also suggests that, while it is expected that on day +3 the</w:t>
      </w:r>
      <w:r>
        <w:t xml:space="preserve"> </w:t>
      </w:r>
      <w:r>
        <w:t xml:space="preserve">eastward propagating coherent signal would shift further east (close to</w:t>
      </w:r>
      <w:r>
        <w:t xml:space="preserve"> </w:t>
      </w:r>
      <w:r>
        <w:t xml:space="preserve">the western shore of the Indian Ocean), this is not the case. This</w:t>
      </w:r>
      <w:r>
        <w:t xml:space="preserve"> </w:t>
      </w:r>
      <w:r>
        <w:t xml:space="preserve">result is consistent, however, with the findings</w:t>
      </w:r>
      <w:r>
        <w:t xml:space="preserve"> </w:t>
      </w:r>
      <w:r>
        <w:t xml:space="preserve">in (Liebmann et al., 2009) (see their Figure 1), and there are several</w:t>
      </w:r>
      <w:r>
        <w:t xml:space="preserve"> </w:t>
      </w:r>
      <w:r>
        <w:t xml:space="preserve">possible reasons for this behaviour, discussed below.</w:t>
      </w:r>
    </w:p>
    <w:p>
      <w:pPr>
        <w:pStyle w:val="BodyText"/>
      </w:pPr>
      <w:r>
        <w:br w:type="textWrapping"/>
      </w:r>
      <w:r>
        <w:t xml:space="preserve">The area average timeseries over all the sub-regions in EEA (e.g E1, E2,</w:t>
      </w:r>
      <w:r>
        <w:t xml:space="preserve"> </w:t>
      </w:r>
      <w:r>
        <w:t xml:space="preserve">E3, E4, E5, E6, E7 and E8) was correlated with every grid point in the</w:t>
      </w:r>
      <w:r>
        <w:t xml:space="preserve"> </w:t>
      </w:r>
      <w:r>
        <w:t xml:space="preserve">domain at lead/lag days  0, -1, -2, and -3. Figure 4 shows the</w:t>
      </w:r>
      <w:r>
        <w:t xml:space="preserve"> </w:t>
      </w:r>
      <w:r>
        <w:t xml:space="preserve">spatio-temporal distribution of the correlation coefficients for E1</w:t>
      </w:r>
      <w:r>
        <w:t xml:space="preserve"> </w:t>
      </w:r>
      <w:r>
        <w:t xml:space="preserve">(Figure 4a-d) and E2 (Figure 4e-h) for lag day 0, -1, -2, and -3. There</w:t>
      </w:r>
      <w:r>
        <w:t xml:space="preserve"> </w:t>
      </w:r>
      <w:r>
        <w:t xml:space="preserve">is a clear difference in the structure of the correlation patterns over</w:t>
      </w:r>
      <w:r>
        <w:t xml:space="preserve"> </w:t>
      </w:r>
      <w:r>
        <w:t xml:space="preserve">lag days -1, -2, and day -3. For E1, it is seen in Figure 4 that there</w:t>
      </w:r>
      <w:r>
        <w:t xml:space="preserve"> </w:t>
      </w:r>
      <w:r>
        <w:t xml:space="preserve">is no switch in polarity of the local sub-region correlation signal over</w:t>
      </w:r>
      <w:r>
        <w:t xml:space="preserve"> </w:t>
      </w:r>
      <w:r>
        <w:t xml:space="preserve">all lag days. However, E2 indicates a change in the polarity of the</w:t>
      </w:r>
      <w:r>
        <w:t xml:space="preserve"> </w:t>
      </w:r>
      <w:r>
        <w:t xml:space="preserve">local signal over the four lag days. The correlation coefficient pattern</w:t>
      </w:r>
      <w:r>
        <w:t xml:space="preserve"> </w:t>
      </w:r>
      <w:r>
        <w:t xml:space="preserve">seen in Figure 4e-h may be interpreted to mean that when wet anomalies</w:t>
      </w:r>
      <w:r>
        <w:t xml:space="preserve"> </w:t>
      </w:r>
      <w:r>
        <w:t xml:space="preserve">dominate the sub-region E2 (Highlands in South Sudan), dry anomalies</w:t>
      </w:r>
      <w:r>
        <w:t xml:space="preserve"> </w:t>
      </w:r>
      <w:r>
        <w:t xml:space="preserve">occur in central WEA (e.g over sub-regions W1, W5, W6) and vice versa,</w:t>
      </w:r>
      <w:r>
        <w:t xml:space="preserve"> </w:t>
      </w:r>
      <w:r>
        <w:t xml:space="preserve">suggesting a weak precipitation dipole.  Here, the word "dipole” is</w:t>
      </w:r>
      <w:r>
        <w:t xml:space="preserve"> </w:t>
      </w:r>
      <w:r>
        <w:t xml:space="preserve">used to refer to behaviour leading to a two-pole (positive-negative)</w:t>
      </w:r>
      <w:r>
        <w:t xml:space="preserve"> </w:t>
      </w:r>
      <w:r>
        <w:t xml:space="preserve">spatial structure of the signal on day 0 which is also similarly present</w:t>
      </w:r>
      <w:r>
        <w:t xml:space="preserve"> </w:t>
      </w:r>
      <w:r>
        <w:t xml:space="preserve">on an earlier or later lag day, and where a similar structure with</w:t>
      </w:r>
      <w:r>
        <w:t xml:space="preserve"> </w:t>
      </w:r>
      <w:r>
        <w:t xml:space="preserve">reversed polarity is present between those two days. On day lag -3</w:t>
      </w:r>
      <w:r>
        <w:t xml:space="preserve"> </w:t>
      </w:r>
      <w:r>
        <w:t xml:space="preserve">(Figure 4h), the structure of the signal resembles that seen on day 0</w:t>
      </w:r>
      <w:r>
        <w:t xml:space="preserve"> </w:t>
      </w:r>
      <w:r>
        <w:t xml:space="preserve">(Figure 4e), though the signal is weak in Figure 4h. However, the</w:t>
      </w:r>
      <w:r>
        <w:t xml:space="preserve"> </w:t>
      </w:r>
      <w:r>
        <w:t xml:space="preserve">correlation pattern seen in Figure 4d does not show any resemblance to</w:t>
      </w:r>
      <w:r>
        <w:t xml:space="preserve"> </w:t>
      </w:r>
      <w:r>
        <w:t xml:space="preserve">that in Figure 4a.  The coefficient pattern seen in Figure 4e-h</w:t>
      </w:r>
      <w:r>
        <w:t xml:space="preserve"> </w:t>
      </w:r>
      <w:r>
        <w:t xml:space="preserve">therefore suggests a precipitation dipole.  This result is consistent</w:t>
      </w:r>
      <w:r>
        <w:t xml:space="preserve"> </w:t>
      </w:r>
      <w:r>
        <w:t xml:space="preserve">with the findings of (Mekonnen and Thorncroft, 2016), who found a dipole in</w:t>
      </w:r>
      <w:r>
        <w:t xml:space="preserve"> </w:t>
      </w:r>
      <w:r>
        <w:t xml:space="preserve">convective activity during July-August-September (JAS) season between</w:t>
      </w:r>
      <w:r>
        <w:t xml:space="preserve"> </w:t>
      </w:r>
      <w:r>
        <w:t xml:space="preserve">the Congo Basin and Eastern Africa. </w:t>
      </w:r>
    </w:p>
    <w:p>
      <w:pPr>
        <w:pStyle w:val="BodyText"/>
      </w:pPr>
      <w:r>
        <w:br w:type="textWrapping"/>
      </w:r>
      <w:r>
        <w:t xml:space="preserve">To test whether the unique behaviour of E2 was due to its location off</w:t>
      </w:r>
      <w:r>
        <w:t xml:space="preserve"> </w:t>
      </w:r>
      <w:r>
        <w:t xml:space="preserve">the equator, a similar spatio-temporal correlation analysis over</w:t>
      </w:r>
      <w:r>
        <w:t xml:space="preserve"> </w:t>
      </w:r>
      <w:r>
        <w:t xml:space="preserve">sub-region E5 (9.1</w:t>
      </w:r>
      <w:r>
        <w:rPr>
          <w:vertAlign w:val="superscript"/>
        </w:rPr>
        <w:t xml:space="preserve">o</w:t>
      </w:r>
      <w:r>
        <w:t xml:space="preserve">S – 4.1</w:t>
      </w:r>
      <w:r>
        <w:rPr>
          <w:vertAlign w:val="superscript"/>
        </w:rPr>
        <w:t xml:space="preserve">o</w:t>
      </w:r>
      <w:r>
        <w:t xml:space="preserve">S,</w:t>
      </w:r>
      <w:r>
        <w:t xml:space="preserve"> </w:t>
      </w:r>
      <w:r>
        <w:t xml:space="preserve">28.1</w:t>
      </w:r>
      <w:r>
        <w:rPr>
          <w:vertAlign w:val="superscript"/>
        </w:rPr>
        <w:t xml:space="preserve">o</w:t>
      </w:r>
      <w:r>
        <w:t xml:space="preserve"> </w:t>
      </w:r>
      <w:r>
        <w:t xml:space="preserve">– 32.6</w:t>
      </w:r>
      <w:r>
        <w:rPr>
          <w:vertAlign w:val="superscript"/>
        </w:rPr>
        <w:t xml:space="preserve">o</w:t>
      </w:r>
      <w:r>
        <w:t xml:space="preserve">E) was performed,</w:t>
      </w:r>
      <w:r>
        <w:t xml:space="preserve"> </w:t>
      </w:r>
      <w:r>
        <w:t xml:space="preserve">since both E2 and E5 are located approximately along the same</w:t>
      </w:r>
      <w:r>
        <w:t xml:space="preserve"> </w:t>
      </w:r>
      <w:r>
        <w:t xml:space="preserve">longitudinal band and distance from the equator. The structure of the</w:t>
      </w:r>
      <w:r>
        <w:t xml:space="preserve"> </w:t>
      </w:r>
      <w:r>
        <w:t xml:space="preserve">correlation coefficient pattern over E5 for lag 0, -1, -2, and -3 was</w:t>
      </w:r>
      <w:r>
        <w:t xml:space="preserve"> </w:t>
      </w:r>
      <w:r>
        <w:t xml:space="preserve">similar to that of E1 (see Figure 4a-d) and not that of E2. This</w:t>
      </w:r>
      <w:r>
        <w:t xml:space="preserve"> </w:t>
      </w:r>
      <w:r>
        <w:t xml:space="preserve">suggests that the behaviour of E2 is not due simply to its location</w:t>
      </w:r>
      <w:r>
        <w:t xml:space="preserve"> </w:t>
      </w:r>
      <w:r>
        <w:t xml:space="preserve">being off the equator. </w:t>
      </w:r>
    </w:p>
    <w:p>
      <w:pPr>
        <w:pStyle w:val="FigureWithCaption"/>
      </w:pPr>
      <w:r>
        <w:drawing>
          <wp:inline>
            <wp:extent cx="5334000" cy="5583909"/>
            <wp:effectExtent b="0" l="0" r="0" t="0"/>
            <wp:docPr descr="Correlation coefficients between area average time series based on 16-years of TRMM daily precipitation anomalies over E1 and every grid point in the domain for lag day (a)  0, (b) -1, (c) -2, and (d) -3 and similarly over E2 for lag day (e) 0, (f) -1, (g) -2, and (h) -3 . Only correlation coefficients that are statistically significant at 95% are shaded   " title="" id="1" name="Picture"/>
            <a:graphic>
              <a:graphicData uri="http://schemas.openxmlformats.org/drawingml/2006/picture">
                <pic:pic>
                  <pic:nvPicPr>
                    <pic:cNvPr descr="figures/figure4-new/F-fig4.png" id="0" name="Picture"/>
                    <pic:cNvPicPr>
                      <a:picLocks noChangeArrowheads="1" noChangeAspect="1"/>
                    </pic:cNvPicPr>
                  </pic:nvPicPr>
                  <pic:blipFill>
                    <a:blip r:embed="rId44"/>
                    <a:stretch>
                      <a:fillRect/>
                    </a:stretch>
                  </pic:blipFill>
                  <pic:spPr bwMode="auto">
                    <a:xfrm>
                      <a:off x="0" y="0"/>
                      <a:ext cx="5334000" cy="5583909"/>
                    </a:xfrm>
                    <a:prstGeom prst="rect">
                      <a:avLst/>
                    </a:prstGeom>
                    <a:noFill/>
                    <a:ln w="9525">
                      <a:noFill/>
                      <a:headEnd/>
                      <a:tailEnd/>
                    </a:ln>
                  </pic:spPr>
                </pic:pic>
              </a:graphicData>
            </a:graphic>
          </wp:inline>
        </w:drawing>
      </w:r>
    </w:p>
    <w:p>
      <w:pPr>
        <w:pStyle w:val="ImageCaption"/>
      </w:pPr>
      <w:r>
        <w:t xml:space="preserve">Correlation coefficients between area average time series based on</w:t>
      </w:r>
      <w:r>
        <w:t xml:space="preserve"> </w:t>
      </w:r>
      <w:r>
        <w:t xml:space="preserve">16-years of TRMM daily precipitation anomalies over E1 and every grid</w:t>
      </w:r>
      <w:r>
        <w:t xml:space="preserve"> </w:t>
      </w:r>
      <w:r>
        <w:t xml:space="preserve">point in the domain for lag day (a)  0, (b) -1, (c) -2, and (d) -3 and</w:t>
      </w:r>
      <w:r>
        <w:t xml:space="preserve"> </w:t>
      </w:r>
      <w:r>
        <w:t xml:space="preserve">similarly over E2 for lag day (e) 0, (f) -1, (g) -2, and (h) -3 . Only</w:t>
      </w:r>
      <w:r>
        <w:t xml:space="preserve"> </w:t>
      </w:r>
      <w:r>
        <w:t xml:space="preserve">correlation coefficients that are statistically significant at 95% are</w:t>
      </w:r>
      <w:r>
        <w:t xml:space="preserve"> </w:t>
      </w:r>
      <w:r>
        <w:t xml:space="preserve">shaded  </w:t>
      </w:r>
      <w:r>
        <w:t xml:space="preserve"> </w:t>
      </w:r>
    </w:p>
    <w:p>
      <w:pPr>
        <w:pStyle w:val="BodyText"/>
      </w:pPr>
      <w:r>
        <w:t xml:space="preserve">Figure 4 shows a clear difference in the spatio-temporal correlation</w:t>
      </w:r>
      <w:r>
        <w:t xml:space="preserve"> </w:t>
      </w:r>
      <w:r>
        <w:t xml:space="preserve">patterns between E1 and E2. Spatio-temporal correlation patterns for the</w:t>
      </w:r>
      <w:r>
        <w:t xml:space="preserve"> </w:t>
      </w:r>
      <w:r>
        <w:t xml:space="preserve">other E sub-regions (e.g. E3, E4) were similar to that for E1, thus not</w:t>
      </w:r>
      <w:r>
        <w:t xml:space="preserve"> </w:t>
      </w:r>
      <w:r>
        <w:t xml:space="preserve">shown. The contrasting correlation pattern between Figure 4a-d and</w:t>
      </w:r>
      <w:r>
        <w:t xml:space="preserve"> </w:t>
      </w:r>
      <w:r>
        <w:t xml:space="preserve">Figure 4e-h suggests that the sub-region E2 has a unique behaviour. This</w:t>
      </w:r>
      <w:r>
        <w:t xml:space="preserve"> </w:t>
      </w:r>
      <w:r>
        <w:t xml:space="preserve">is apparent on comparing Figure 4b with Figure 4f, and Figure 4d with</w:t>
      </w:r>
      <w:r>
        <w:t xml:space="preserve"> </w:t>
      </w:r>
      <w:r>
        <w:t xml:space="preserve">Figure 4h.  The interpretation made here is that for all sub-regions in</w:t>
      </w:r>
      <w:r>
        <w:t xml:space="preserve"> </w:t>
      </w:r>
      <w:r>
        <w:t xml:space="preserve">EEA, except E2, a</w:t>
      </w:r>
      <w:r>
        <w:t xml:space="preserve"> </w:t>
      </w:r>
      <w:r>
        <w:t xml:space="preserve">“</w:t>
      </w:r>
      <w:r>
        <w:t xml:space="preserve">local</w:t>
      </w:r>
      <w:r>
        <w:t xml:space="preserve">”</w:t>
      </w:r>
      <w:r>
        <w:t xml:space="preserve"> </w:t>
      </w:r>
      <w:r>
        <w:t xml:space="preserve">influence within EEA persists for a longer</w:t>
      </w:r>
      <w:r>
        <w:t xml:space="preserve"> </w:t>
      </w:r>
      <w:r>
        <w:t xml:space="preserve">timescale than the influence from WEA. Also, this result suggests that</w:t>
      </w:r>
      <w:r>
        <w:t xml:space="preserve"> </w:t>
      </w:r>
      <w:r>
        <w:t xml:space="preserve">precipitation over several sub-regions in EEA is not mainly  controlled</w:t>
      </w:r>
      <w:r>
        <w:t xml:space="preserve"> </w:t>
      </w:r>
      <w:r>
        <w:t xml:space="preserve">by the eastward propagating signal seen in Figure 2.</w:t>
      </w:r>
    </w:p>
    <w:p>
      <w:pPr>
        <w:pStyle w:val="BodyText"/>
      </w:pPr>
      <w:r>
        <w:t xml:space="preserve">To further assess the relationship between precipitation in a sub-region</w:t>
      </w:r>
      <w:r>
        <w:t xml:space="preserve"> </w:t>
      </w:r>
      <w:r>
        <w:t xml:space="preserve">and the driving circulation at every grid-point, area averaged</w:t>
      </w:r>
      <w:r>
        <w:t xml:space="preserve"> </w:t>
      </w:r>
      <w:r>
        <w:t xml:space="preserve">precipitation anomalies in W1, W3 and W5 were correlated with 850hPa</w:t>
      </w:r>
      <w:r>
        <w:t xml:space="preserve"> </w:t>
      </w:r>
      <w:r>
        <w:t xml:space="preserve">zonal wind anomalies for the entire period, regardless of the season.</w:t>
      </w:r>
      <w:r>
        <w:t xml:space="preserve"> </w:t>
      </w:r>
      <w:r>
        <w:t xml:space="preserve">Results indicate a coherent eastward/northeastward propagation signal as</w:t>
      </w:r>
      <w:r>
        <w:t xml:space="preserve"> </w:t>
      </w:r>
      <w:r>
        <w:t xml:space="preserve">seen in Figures 3 and 4 (not shown), discussed further below.</w:t>
      </w:r>
    </w:p>
    <w:p>
      <w:pPr>
        <w:pStyle w:val="BodyText"/>
      </w:pPr>
      <w:r>
        <w:t xml:space="preserve">The signal seen in Figure 3 and 4e-h therefore highlights a synoptic</w:t>
      </w:r>
      <w:r>
        <w:t xml:space="preserve"> </w:t>
      </w:r>
      <w:r>
        <w:t xml:space="preserve">-timescale eastward/northeastward propagating system. In light of this</w:t>
      </w:r>
      <w:r>
        <w:t xml:space="preserve"> </w:t>
      </w:r>
      <w:r>
        <w:t xml:space="preserve">result, the documented large-scale tropical disturbances that might be</w:t>
      </w:r>
      <w:r>
        <w:t xml:space="preserve"> </w:t>
      </w:r>
      <w:r>
        <w:t xml:space="preserve">associated with the large-scale coherent signal seen in Figure 3 and</w:t>
      </w:r>
      <w:r>
        <w:t xml:space="preserve"> </w:t>
      </w:r>
      <w:r>
        <w:t xml:space="preserve">4e-h are briefly reviewed. The Madden Julian Oscillation (MJO) is an</w:t>
      </w:r>
      <w:r>
        <w:t xml:space="preserve"> </w:t>
      </w:r>
      <w:r>
        <w:t xml:space="preserve">eastward propagating mode of intra-seasonal variability that modulates</w:t>
      </w:r>
      <w:r>
        <w:t xml:space="preserve"> </w:t>
      </w:r>
      <w:r>
        <w:t xml:space="preserve">convective activity and precipitation in Equatorial Africa</w:t>
      </w:r>
      <w:r>
        <w:t xml:space="preserve"> </w:t>
      </w:r>
      <w:r>
        <w:t xml:space="preserve"> (Berhane and Zaitchik, 2014; Pohl and Camberlin, 2006)  and propagates through Equatorial Africa with a</w:t>
      </w:r>
      <w:r>
        <w:t xml:space="preserve"> </w:t>
      </w:r>
      <w:r>
        <w:t xml:space="preserve">speed of  about 5 m s</w:t>
      </w:r>
      <w:r>
        <w:rPr>
          <w:vertAlign w:val="superscript"/>
        </w:rPr>
        <w:t xml:space="preserve">-1</w:t>
      </w:r>
      <w:r>
        <w:t xml:space="preserve"> (Geerts and Wheeler, 1998; Zaitchik, 2017).  This</w:t>
      </w:r>
      <w:r>
        <w:t xml:space="preserve"> </w:t>
      </w:r>
      <w:r>
        <w:t xml:space="preserve">implies that the MJO is a slower mode compared with the</w:t>
      </w:r>
      <w:r>
        <w:t xml:space="preserve"> </w:t>
      </w:r>
      <w:r>
        <w:t xml:space="preserve">~12 m s</w:t>
      </w:r>
      <w:r>
        <w:rPr>
          <w:vertAlign w:val="superscript"/>
        </w:rPr>
        <w:t xml:space="preserve">-1</w:t>
      </w:r>
      <w:r>
        <w:t xml:space="preserve"> </w:t>
      </w:r>
      <w:r>
        <w:t xml:space="preserve">eastward propagating signal</w:t>
      </w:r>
      <w:r>
        <w:t xml:space="preserve"> </w:t>
      </w:r>
      <w:r>
        <w:t xml:space="preserve">seen in Figures 3 and 4.  An ERW is a westward propagating mode</w:t>
      </w:r>
      <w:r>
        <w:t xml:space="preserve"> </w:t>
      </w:r>
      <w:r>
        <w:t xml:space="preserve"> (Wheeler and Kiladis, 1999), and thus is also discounted from being associated</w:t>
      </w:r>
      <w:r>
        <w:t xml:space="preserve"> </w:t>
      </w:r>
      <w:r>
        <w:t xml:space="preserve">with the signal in Figures 3 and 4. EIGs are equally weak over</w:t>
      </w:r>
      <w:r>
        <w:t xml:space="preserve"> </w:t>
      </w:r>
      <w:r>
        <w:t xml:space="preserve">Equatorial Africa</w:t>
      </w:r>
      <w:r>
        <w:t xml:space="preserve"> </w:t>
      </w:r>
      <w:r>
        <w:t xml:space="preserve">(</w:t>
      </w:r>
      <w:hyperlink r:id="rId45">
        <w:r>
          <w:rPr>
            <w:rStyle w:val="Hyperlink"/>
          </w:rPr>
          <w:t xml:space="preserve">Kiladis</w:t>
        </w:r>
        <w:r>
          <w:rPr>
            <w:rStyle w:val="Hyperlink"/>
          </w:rPr>
          <w:t xml:space="preserve"> </w:t>
        </w:r>
        <w:r>
          <w:rPr>
            <w:rStyle w:val="Hyperlink"/>
          </w:rPr>
          <w:t xml:space="preserve">et al. 2009</w:t>
        </w:r>
      </w:hyperlink>
      <w:r>
        <w:t xml:space="preserve">), and thus are less likely to responsible for the signal</w:t>
      </w:r>
      <w:r>
        <w:t xml:space="preserve"> </w:t>
      </w:r>
      <w:r>
        <w:t xml:space="preserve">seen in the aforementioned figures.  On the other hand, a Kelvin wave</w:t>
      </w:r>
      <w:r>
        <w:t xml:space="preserve"> </w:t>
      </w:r>
      <w:r>
        <w:t xml:space="preserve">propagates eastward through Equatorial Africa with a speed of  between</w:t>
      </w:r>
      <w:r>
        <w:t xml:space="preserve"> </w:t>
      </w:r>
      <w:r>
        <w:t xml:space="preserve">11 m s</w:t>
      </w:r>
      <w:r>
        <w:rPr>
          <w:vertAlign w:val="superscript"/>
        </w:rPr>
        <w:t xml:space="preserve">-1</w:t>
      </w:r>
      <w:r>
        <w:t xml:space="preserve"> and 15 m</w:t>
      </w:r>
      <w:r>
        <w:t xml:space="preserve"> </w:t>
      </w:r>
      <w:r>
        <w:t xml:space="preserve">s</w:t>
      </w:r>
      <w:r>
        <w:rPr>
          <w:vertAlign w:val="superscript"/>
        </w:rPr>
        <w:t xml:space="preserve">-1</w:t>
      </w:r>
      <w:r>
        <w:t xml:space="preserve">  (Mekonnen et al., 2008; Baranowski et al., 2016) . Therefore, it is highly</w:t>
      </w:r>
      <w:r>
        <w:t xml:space="preserve"> </w:t>
      </w:r>
      <w:r>
        <w:t xml:space="preserve">likely that the synoptic-scale signal in the current study is that of a</w:t>
      </w:r>
      <w:r>
        <w:t xml:space="preserve"> </w:t>
      </w:r>
      <w:r>
        <w:t xml:space="preserve">CCKW. </w:t>
      </w:r>
    </w:p>
    <w:p>
      <w:pPr>
        <w:pStyle w:val="BodyText"/>
      </w:pPr>
      <w:r>
        <w:br w:type="textWrapping"/>
      </w:r>
      <w:r>
        <w:t xml:space="preserve">Figure 5a shows a time-longitude plot of TRMM daily precipitation</w:t>
      </w:r>
      <w:r>
        <w:t xml:space="preserve"> </w:t>
      </w:r>
      <w:r>
        <w:t xml:space="preserve">anomalies and the 850 hPa Kelvin wave divergence field (see section 2.4)</w:t>
      </w:r>
      <w:r>
        <w:t xml:space="preserve"> </w:t>
      </w:r>
      <w:r>
        <w:t xml:space="preserve">for April 2004, as an example. The period shown here was selected</w:t>
      </w:r>
      <w:r>
        <w:t xml:space="preserve"> </w:t>
      </w:r>
      <w:r>
        <w:t xml:space="preserve">because it includes several</w:t>
      </w:r>
      <w:r>
        <w:t xml:space="preserve"> </w:t>
      </w:r>
      <w:r>
        <w:t xml:space="preserve">“</w:t>
      </w:r>
      <w:r>
        <w:t xml:space="preserve">event days</w:t>
      </w:r>
      <w:r>
        <w:t xml:space="preserve">”</w:t>
      </w:r>
      <w:r>
        <w:t xml:space="preserve"> </w:t>
      </w:r>
      <w:r>
        <w:t xml:space="preserve">(see section 5 below) that</w:t>
      </w:r>
      <w:r>
        <w:t xml:space="preserve"> </w:t>
      </w:r>
      <w:r>
        <w:t xml:space="preserve">were indicated by several different pairs of near-equatorial sub-regions</w:t>
      </w:r>
      <w:r>
        <w:t xml:space="preserve"> </w:t>
      </w:r>
      <w:r>
        <w:t xml:space="preserve">suggesting that on these dates there was an eastward propagation of wet</w:t>
      </w:r>
      <w:r>
        <w:t xml:space="preserve"> </w:t>
      </w:r>
      <w:r>
        <w:t xml:space="preserve">anomalies. It is apparent from Figure 5a that eastward propagating wet</w:t>
      </w:r>
      <w:r>
        <w:t xml:space="preserve"> </w:t>
      </w:r>
      <w:r>
        <w:t xml:space="preserve">anomalies coincide with the Kelvin wave low-level convergence, while dry</w:t>
      </w:r>
      <w:r>
        <w:t xml:space="preserve"> </w:t>
      </w:r>
      <w:r>
        <w:t xml:space="preserve">anomalies coincide with Kelvin wave low-level divergence.  The</w:t>
      </w:r>
      <w:r>
        <w:t xml:space="preserve"> </w:t>
      </w:r>
      <w:r>
        <w:t xml:space="preserve">relationship between precipitation in various sub-regions in WEA and</w:t>
      </w:r>
      <w:r>
        <w:t xml:space="preserve"> </w:t>
      </w:r>
      <w:r>
        <w:t xml:space="preserve">Kelvin wave divergence field over lag day -3 to day +4 was also</w:t>
      </w:r>
      <w:r>
        <w:t xml:space="preserve"> </w:t>
      </w:r>
      <w:r>
        <w:t xml:space="preserve">analysed. As an example, Figure 5b shows the lagged correlation</w:t>
      </w:r>
      <w:r>
        <w:t xml:space="preserve"> </w:t>
      </w:r>
      <w:r>
        <w:t xml:space="preserve">coefficients between area averaged precipitation anomalies in W3 and</w:t>
      </w:r>
      <w:r>
        <w:t xml:space="preserve"> </w:t>
      </w:r>
      <w:r>
        <w:t xml:space="preserve">grid-point Kelvin wave divergence at 850 hPa for the entire 16-year</w:t>
      </w:r>
      <w:r>
        <w:t xml:space="preserve"> </w:t>
      </w:r>
      <w:r>
        <w:t xml:space="preserve">period over lag day -3 to day +4. In agreement with Figure 5a, 5b</w:t>
      </w:r>
      <w:r>
        <w:t xml:space="preserve"> </w:t>
      </w:r>
      <w:r>
        <w:t xml:space="preserve">reveals a signal of a Kelvin wave that progresses into WEA from the</w:t>
      </w:r>
      <w:r>
        <w:t xml:space="preserve"> </w:t>
      </w:r>
      <w:r>
        <w:t xml:space="preserve">Atlantic Ocean and progresses into EEA with a phase speed of</w:t>
      </w:r>
      <w:r>
        <w:t xml:space="preserve"> </w:t>
      </w:r>
      <w:r>
        <w:t xml:space="preserve">~10 m s</w:t>
      </w:r>
      <w:r>
        <w:rPr>
          <w:vertAlign w:val="superscript"/>
        </w:rPr>
        <w:t xml:space="preserve">-1</w:t>
      </w:r>
      <w:r>
        <w:t xml:space="preserve">. The pattern seen in Figure</w:t>
      </w:r>
      <w:r>
        <w:t xml:space="preserve"> </w:t>
      </w:r>
      <w:r>
        <w:t xml:space="preserve">5b is in agreement with results</w:t>
      </w:r>
      <w:r>
        <w:t xml:space="preserve"> </w:t>
      </w:r>
      <w:r>
        <w:t xml:space="preserve">by </w:t>
      </w:r>
      <w:hyperlink r:id="rId46">
        <w:r>
          <w:rPr>
            <w:rStyle w:val="Hyperlink"/>
          </w:rPr>
          <w:t xml:space="preserve">Mekonnen</w:t>
        </w:r>
        <w:r>
          <w:rPr>
            <w:rStyle w:val="Hyperlink"/>
          </w:rPr>
          <w:t xml:space="preserve"> </w:t>
        </w:r>
        <w:r>
          <w:rPr>
            <w:rStyle w:val="Hyperlink"/>
          </w:rPr>
          <w:t xml:space="preserve">et al. (2008)</w:t>
        </w:r>
      </w:hyperlink>
      <w:r>
        <w:t xml:space="preserve"> that suggested that CCKWs propagate into Africa from the</w:t>
      </w:r>
      <w:r>
        <w:t xml:space="preserve"> </w:t>
      </w:r>
      <w:r>
        <w:t xml:space="preserve">Atlantic Ocean.</w:t>
      </w:r>
    </w:p>
    <w:p>
      <w:pPr>
        <w:pStyle w:val="FigureWithCaption"/>
      </w:pPr>
      <w:r>
        <w:drawing>
          <wp:inline>
            <wp:extent cx="5334000" cy="4439793"/>
            <wp:effectExtent b="0" l="0" r="0" t="0"/>
            <wp:docPr descr="Time-longitude section for daily precipitation anomalies for 24 March to 5 May 2004 (shaded) where the contour lines show Kelvin wave divergence (dashed lines negative) at 850 hPa and both divergence and precipitation are averaged between 7oS and 3oN. Contour line internval is 9.3x10-7s-1. (b) Contour lines show the lagged correlation coefficient between 16-years of daily precipitation anomalies over W3 and grid point 850 hPa Kelvin wave divergence (dashed lines negative) and shading shows the auto-lagged correlation of precipitation over W3 and grid point precipitation averaged over 7oS and 3oN.   " title="" id="1" name="Picture"/>
            <a:graphic>
              <a:graphicData uri="http://schemas.openxmlformats.org/drawingml/2006/picture">
                <pic:pic>
                  <pic:nvPicPr>
                    <pic:cNvPr descr="figures/F-fig51/F-fig51.png" id="0" name="Picture"/>
                    <pic:cNvPicPr>
                      <a:picLocks noChangeArrowheads="1" noChangeAspect="1"/>
                    </pic:cNvPicPr>
                  </pic:nvPicPr>
                  <pic:blipFill>
                    <a:blip r:embed="rId47"/>
                    <a:stretch>
                      <a:fillRect/>
                    </a:stretch>
                  </pic:blipFill>
                  <pic:spPr bwMode="auto">
                    <a:xfrm>
                      <a:off x="0" y="0"/>
                      <a:ext cx="5334000" cy="4439793"/>
                    </a:xfrm>
                    <a:prstGeom prst="rect">
                      <a:avLst/>
                    </a:prstGeom>
                    <a:noFill/>
                    <a:ln w="9525">
                      <a:noFill/>
                      <a:headEnd/>
                      <a:tailEnd/>
                    </a:ln>
                  </pic:spPr>
                </pic:pic>
              </a:graphicData>
            </a:graphic>
          </wp:inline>
        </w:drawing>
      </w:r>
    </w:p>
    <w:p>
      <w:pPr>
        <w:pStyle w:val="ImageCaption"/>
      </w:pPr>
      <w:r>
        <w:t xml:space="preserve">Time-longitude section for daily precipitation anomalies for 24 March to</w:t>
      </w:r>
      <w:r>
        <w:t xml:space="preserve"> </w:t>
      </w:r>
      <w:r>
        <w:t xml:space="preserve">5 May 2004 (shaded) where the contour lines show Kelvin wave divergence</w:t>
      </w:r>
      <w:r>
        <w:t xml:space="preserve"> </w:t>
      </w:r>
      <w:r>
        <w:t xml:space="preserve">(dashed lines negative) at 850 hPa and both divergence and precipitation</w:t>
      </w:r>
      <w:r>
        <w:t xml:space="preserve"> </w:t>
      </w:r>
      <w:r>
        <w:t xml:space="preserve">are averaged between 7</w:t>
      </w:r>
      <w:r>
        <w:rPr>
          <w:vertAlign w:val="superscript"/>
        </w:rPr>
        <w:t xml:space="preserve">o</w:t>
      </w:r>
      <w:r>
        <w:t xml:space="preserve">S and 3</w:t>
      </w:r>
      <w:r>
        <w:rPr>
          <w:vertAlign w:val="superscript"/>
        </w:rPr>
        <w:t xml:space="preserve">o</w:t>
      </w:r>
      <w:r>
        <w:t xml:space="preserve">N.</w:t>
      </w:r>
      <w:r>
        <w:t xml:space="preserve"> </w:t>
      </w:r>
      <w:r>
        <w:t xml:space="preserve">Contour line internval is 9.3x10-7s</w:t>
      </w:r>
      <w:r>
        <w:rPr>
          <w:vertAlign w:val="superscript"/>
        </w:rPr>
        <w:t xml:space="preserve">-1</w:t>
      </w:r>
      <w:r>
        <w:t xml:space="preserve">. (b) Contour</w:t>
      </w:r>
      <w:r>
        <w:t xml:space="preserve"> </w:t>
      </w:r>
      <w:r>
        <w:t xml:space="preserve">lines show the lagged correlation coefficient between 16-years of daily</w:t>
      </w:r>
      <w:r>
        <w:t xml:space="preserve"> </w:t>
      </w:r>
      <w:r>
        <w:t xml:space="preserve">precipitation anomalies over W3 and grid point 850 hPa Kelvin wave</w:t>
      </w:r>
      <w:r>
        <w:t xml:space="preserve"> </w:t>
      </w:r>
      <w:r>
        <w:t xml:space="preserve">divergence (dashed lines negative) and shading shows the auto-lagged</w:t>
      </w:r>
      <w:r>
        <w:t xml:space="preserve"> </w:t>
      </w:r>
      <w:r>
        <w:t xml:space="preserve">correlation of precipitation over W3 and grid point precipitation</w:t>
      </w:r>
      <w:r>
        <w:t xml:space="preserve"> </w:t>
      </w:r>
      <w:r>
        <w:t xml:space="preserve">averaged over 7</w:t>
      </w:r>
      <w:r>
        <w:rPr>
          <w:vertAlign w:val="superscript"/>
        </w:rPr>
        <w:t xml:space="preserve">o</w:t>
      </w:r>
      <w:r>
        <w:t xml:space="preserve">S and 3</w:t>
      </w:r>
      <w:r>
        <w:rPr>
          <w:vertAlign w:val="superscript"/>
        </w:rPr>
        <w:t xml:space="preserve">o</w:t>
      </w:r>
      <w:r>
        <w:t xml:space="preserve">N.  </w:t>
      </w:r>
      <w:r>
        <w:t xml:space="preserve"> </w:t>
      </w:r>
    </w:p>
    <w:p>
      <w:pPr>
        <w:pStyle w:val="Heading2"/>
      </w:pPr>
      <w:bookmarkStart w:id="48" w:name="section"/>
      <w:bookmarkEnd w:id="48"/>
    </w:p>
    <w:p>
      <w:pPr>
        <w:pStyle w:val="FirstParagraph"/>
      </w:pPr>
      <w:r>
        <w:br w:type="textWrapping"/>
      </w:r>
    </w:p>
    <w:p>
      <w:pPr>
        <w:pStyle w:val="Heading2"/>
      </w:pPr>
      <w:bookmarkStart w:id="49" w:name="isolation-of-event-time-indices"/>
      <w:bookmarkEnd w:id="49"/>
      <w:r>
        <w:t xml:space="preserve">Isolation of event time</w:t>
      </w:r>
      <w:r>
        <w:t xml:space="preserve"> </w:t>
      </w:r>
      <w:r>
        <w:t xml:space="preserve">indices</w:t>
      </w:r>
    </w:p>
    <w:p>
      <w:pPr>
        <w:pStyle w:val="FirstParagraph"/>
      </w:pPr>
      <w:r>
        <w:t xml:space="preserve">A meaningful way of understanding the eastward/northeastward propagating</w:t>
      </w:r>
      <w:r>
        <w:t xml:space="preserve"> </w:t>
      </w:r>
      <w:r>
        <w:t xml:space="preserve">signal seen in Figures 3 and 4 is to undertake a basic count of the</w:t>
      </w:r>
      <w:r>
        <w:t xml:space="preserve"> </w:t>
      </w:r>
      <w:r>
        <w:t xml:space="preserve">number of days (or</w:t>
      </w:r>
      <w:r>
        <w:t xml:space="preserve"> </w:t>
      </w:r>
      <w:r>
        <w:t xml:space="preserve">“</w:t>
      </w:r>
      <w:r>
        <w:t xml:space="preserve">events</w:t>
      </w:r>
      <w:r>
        <w:t xml:space="preserve">”</w:t>
      </w:r>
      <w:r>
        <w:t xml:space="preserve">, see section 3.2) when precipitation</w:t>
      </w:r>
      <w:r>
        <w:t xml:space="preserve"> </w:t>
      </w:r>
      <w:r>
        <w:t xml:space="preserve">exhibits eastward propagation.</w:t>
      </w:r>
    </w:p>
    <w:p>
      <w:pPr>
        <w:pStyle w:val="BodyText"/>
      </w:pPr>
      <w:r>
        <w:t xml:space="preserve">Figure 6 shows the number of events between W3 and E1. Similarly, the</w:t>
      </w:r>
      <w:r>
        <w:t xml:space="preserve"> </w:t>
      </w:r>
      <w:r>
        <w:t xml:space="preserve">number of events for all the various pairs of sub-regions were counted.</w:t>
      </w:r>
      <w:r>
        <w:t xml:space="preserve"> </w:t>
      </w:r>
      <w:r>
        <w:t xml:space="preserve">Between W3 and E1, the approach identified 87 events during</w:t>
      </w:r>
      <w:r>
        <w:t xml:space="preserve"> </w:t>
      </w:r>
      <w:r>
        <w:t xml:space="preserve">December-January-February (DJF)  while between W1 and E1, a total number</w:t>
      </w:r>
      <w:r>
        <w:t xml:space="preserve"> </w:t>
      </w:r>
      <w:r>
        <w:t xml:space="preserve">of 103 events for the boreal spring (March-April-May) were identified.</w:t>
      </w:r>
      <w:r>
        <w:t xml:space="preserve"> </w:t>
      </w:r>
      <w:r>
        <w:t xml:space="preserve">This averages about 6 events per MAM and about 5 events per DJF. In</w:t>
      </w:r>
      <w:r>
        <w:t xml:space="preserve"> </w:t>
      </w:r>
      <w:r>
        <w:t xml:space="preserve">assessing the interannual synoptic-scale variability of precipitation</w:t>
      </w:r>
      <w:r>
        <w:t xml:space="preserve"> </w:t>
      </w:r>
      <w:r>
        <w:t xml:space="preserve">over the Congo basin,  (Sinclaire et al., 2015) suggested that 6 - 7</w:t>
      </w:r>
      <w:r>
        <w:t xml:space="preserve"> </w:t>
      </w:r>
      <w:r>
        <w:t xml:space="preserve">convectively coupled equatorial Kelvin waves propagate through the Congo</w:t>
      </w:r>
      <w:r>
        <w:t xml:space="preserve"> </w:t>
      </w:r>
      <w:r>
        <w:t xml:space="preserve">basin during March -</w:t>
      </w:r>
      <w:r>
        <w:t xml:space="preserve"> </w:t>
      </w:r>
      <w:r>
        <w:t xml:space="preserve">June. </w:t>
      </w:r>
      <w:hyperlink r:id="rId46">
        <w:r>
          <w:rPr>
            <w:rStyle w:val="Hyperlink"/>
          </w:rPr>
          <w:t xml:space="preserve">Mekonnen</w:t>
        </w:r>
        <w:r>
          <w:rPr>
            <w:rStyle w:val="Hyperlink"/>
          </w:rPr>
          <w:t xml:space="preserve"> </w:t>
        </w:r>
        <w:r>
          <w:rPr>
            <w:rStyle w:val="Hyperlink"/>
          </w:rPr>
          <w:t xml:space="preserve">et al. (2008)</w:t>
        </w:r>
      </w:hyperlink>
      <w:r>
        <w:t xml:space="preserve"> performed a count of the number of CCKWs that started</w:t>
      </w:r>
      <w:r>
        <w:t xml:space="preserve"> </w:t>
      </w:r>
      <w:r>
        <w:t xml:space="preserve">west of 10</w:t>
      </w:r>
      <w:r>
        <w:rPr>
          <w:vertAlign w:val="superscript"/>
        </w:rPr>
        <w:t xml:space="preserve">o</w:t>
      </w:r>
      <w:r>
        <w:t xml:space="preserve">E and propagated through tropical Africa</w:t>
      </w:r>
      <w:r>
        <w:t xml:space="preserve"> </w:t>
      </w:r>
      <w:r>
        <w:t xml:space="preserve">east of 20</w:t>
      </w:r>
      <w:r>
        <w:rPr>
          <w:vertAlign w:val="superscript"/>
        </w:rPr>
        <w:t xml:space="preserve">o</w:t>
      </w:r>
      <w:r>
        <w:t xml:space="preserve">E during boreal summer, finding that 5 - 6</w:t>
      </w:r>
      <w:r>
        <w:t xml:space="preserve"> </w:t>
      </w:r>
      <w:r>
        <w:t xml:space="preserve">CCKWs events propagated eastward in the 3-month period but with a</w:t>
      </w:r>
      <w:r>
        <w:t xml:space="preserve"> </w:t>
      </w:r>
      <w:r>
        <w:t xml:space="preserve">profound year-to-year variability. It is likely that the events seen in</w:t>
      </w:r>
      <w:r>
        <w:t xml:space="preserve"> </w:t>
      </w:r>
      <w:r>
        <w:t xml:space="preserve">the present study correspond to the days when the passage of the CCKWs</w:t>
      </w:r>
      <w:r>
        <w:t xml:space="preserve"> </w:t>
      </w:r>
      <w:r>
        <w:t xml:space="preserve">modulate convection and precipitation over Equatorial Africa.</w:t>
      </w:r>
    </w:p>
    <w:p>
      <w:pPr>
        <w:pStyle w:val="BodyText"/>
      </w:pPr>
      <w:r>
        <w:br w:type="textWrapping"/>
      </w:r>
      <w:r>
        <w:t xml:space="preserve">In Figure 6, June-July-August (JJA) shows the least number of events</w:t>
      </w:r>
      <w:r>
        <w:t xml:space="preserve"> </w:t>
      </w:r>
      <w:r>
        <w:t xml:space="preserve">when compared to other seasons. This could be because during these</w:t>
      </w:r>
      <w:r>
        <w:t xml:space="preserve"> </w:t>
      </w:r>
      <w:r>
        <w:t xml:space="preserve">months, EEA is generally dry. Additionally, Figure 6 highlights that</w:t>
      </w:r>
      <w:r>
        <w:t xml:space="preserve"> </w:t>
      </w:r>
      <w:r>
        <w:t xml:space="preserve">these events are characterised by a large season-to-season variability.</w:t>
      </w:r>
      <w:r>
        <w:t xml:space="preserve"> </w:t>
      </w:r>
      <w:r>
        <w:t xml:space="preserve">Because seasonal precipitation over Equatorial Africa is strongly</w:t>
      </w:r>
      <w:r>
        <w:t xml:space="preserve"> </w:t>
      </w:r>
      <w:r>
        <w:t xml:space="preserve">modulated by the ITCZ, Figure 6 suggests that the synoptic-scale system</w:t>
      </w:r>
      <w:r>
        <w:t xml:space="preserve"> </w:t>
      </w:r>
      <w:r>
        <w:t xml:space="preserve">that modulates these precipitation events is associated with the ITCZ. </w:t>
      </w:r>
    </w:p>
    <w:p>
      <w:pPr>
        <w:pStyle w:val="FigureWithCaption"/>
      </w:pPr>
      <w:r>
        <w:drawing>
          <wp:inline>
            <wp:extent cx="5334000" cy="3432346"/>
            <wp:effectExtent b="0" l="0" r="0" t="0"/>
            <wp:docPr descr="Season-to-season variability in the number of events for W3 and E1 " title="" id="1" name="Picture"/>
            <a:graphic>
              <a:graphicData uri="http://schemas.openxmlformats.org/drawingml/2006/picture">
                <pic:pic>
                  <pic:nvPicPr>
                    <pic:cNvPr descr="figures/F-fig6/F-fig6.png" id="0" name="Picture"/>
                    <pic:cNvPicPr>
                      <a:picLocks noChangeArrowheads="1" noChangeAspect="1"/>
                    </pic:cNvPicPr>
                  </pic:nvPicPr>
                  <pic:blipFill>
                    <a:blip r:embed="rId50"/>
                    <a:stretch>
                      <a:fillRect/>
                    </a:stretch>
                  </pic:blipFill>
                  <pic:spPr bwMode="auto">
                    <a:xfrm>
                      <a:off x="0" y="0"/>
                      <a:ext cx="5334000" cy="3432346"/>
                    </a:xfrm>
                    <a:prstGeom prst="rect">
                      <a:avLst/>
                    </a:prstGeom>
                    <a:noFill/>
                    <a:ln w="9525">
                      <a:noFill/>
                      <a:headEnd/>
                      <a:tailEnd/>
                    </a:ln>
                  </pic:spPr>
                </pic:pic>
              </a:graphicData>
            </a:graphic>
          </wp:inline>
        </w:drawing>
      </w:r>
    </w:p>
    <w:p>
      <w:pPr>
        <w:pStyle w:val="ImageCaption"/>
      </w:pPr>
      <w:r>
        <w:t xml:space="preserve">Season-to-season variability in the number of events for W3 and E1</w:t>
      </w:r>
      <w:r>
        <w:t xml:space="preserve"> </w:t>
      </w:r>
    </w:p>
    <w:p>
      <w:pPr>
        <w:pStyle w:val="BodyText"/>
      </w:pPr>
      <w:r>
        <w:br w:type="textWrapping"/>
      </w:r>
    </w:p>
    <w:p>
      <w:pPr>
        <w:pStyle w:val="Heading2"/>
      </w:pPr>
      <w:bookmarkStart w:id="51" w:name="composite-analysis"/>
      <w:bookmarkEnd w:id="51"/>
      <w:r>
        <w:t xml:space="preserve">Composite Analysis</w:t>
      </w:r>
    </w:p>
    <w:p>
      <w:pPr>
        <w:pStyle w:val="FirstParagraph"/>
      </w:pPr>
      <w:r>
        <w:t xml:space="preserve">Finally, the composite method is used here to investigate the average</w:t>
      </w:r>
      <w:r>
        <w:t xml:space="preserve"> </w:t>
      </w:r>
      <w:r>
        <w:t xml:space="preserve">structure, characteristics and wind regime associated with the</w:t>
      </w:r>
      <w:r>
        <w:t xml:space="preserve"> </w:t>
      </w:r>
      <w:r>
        <w:t xml:space="preserve">precipitation relationship between WEA and EEA. The composite is</w:t>
      </w:r>
      <w:r>
        <w:t xml:space="preserve"> </w:t>
      </w:r>
      <w:r>
        <w:t xml:space="preserve">calculated by taking an average over event days. Composite analysis has</w:t>
      </w:r>
      <w:r>
        <w:t xml:space="preserve"> </w:t>
      </w:r>
      <w:r>
        <w:t xml:space="preserve">been used in previous studies to investigate the characteristics of</w:t>
      </w:r>
      <w:r>
        <w:t xml:space="preserve"> </w:t>
      </w:r>
      <w:r>
        <w:t xml:space="preserve">propagating features in the tropics. For</w:t>
      </w:r>
      <w:r>
        <w:t xml:space="preserve"> </w:t>
      </w:r>
      <w:r>
        <w:t xml:space="preserve">example, (Wheeler and Hendon, 2004)  and (Roundy, 2008) used the compositing</w:t>
      </w:r>
      <w:r>
        <w:t xml:space="preserve"> </w:t>
      </w:r>
      <w:r>
        <w:t xml:space="preserve">technique by taking an average of the anomalous observations to study</w:t>
      </w:r>
      <w:r>
        <w:t xml:space="preserve"> </w:t>
      </w:r>
      <w:r>
        <w:t xml:space="preserve">the propagation characteristics of the MJO and analyse the role of</w:t>
      </w:r>
      <w:r>
        <w:t xml:space="preserve"> </w:t>
      </w:r>
      <w:r>
        <w:t xml:space="preserve">convectively coupled Kelvin waves in the Indian Ocean. In this study, a</w:t>
      </w:r>
      <w:r>
        <w:t xml:space="preserve"> </w:t>
      </w:r>
      <w:r>
        <w:t xml:space="preserve">similar composite technique is used to calculate composites for</w:t>
      </w:r>
      <w:r>
        <w:t xml:space="preserve"> </w:t>
      </w:r>
      <w:r>
        <w:t xml:space="preserve">precipitation anomalies and dynamical fields. Because previous studies</w:t>
      </w:r>
      <w:r>
        <w:t xml:space="preserve"> </w:t>
      </w:r>
      <w:r>
        <w:t xml:space="preserve">have indicated that the circulation patterns associated with</w:t>
      </w:r>
      <w:r>
        <w:t xml:space="preserve"> </w:t>
      </w:r>
      <w:r>
        <w:t xml:space="preserve">precipitation variability in the different seasons varies</w:t>
      </w:r>
      <w:r>
        <w:t xml:space="preserve"> </w:t>
      </w:r>
      <w:r>
        <w:t xml:space="preserve">remarkably (Pohl and Camberlin, 2006), composites based on Equatorial Africa’s</w:t>
      </w:r>
      <w:r>
        <w:t xml:space="preserve"> </w:t>
      </w:r>
      <w:r>
        <w:t xml:space="preserve">known wet seasons are calculated.  The events were first categorised by</w:t>
      </w:r>
      <w:r>
        <w:t xml:space="preserve"> </w:t>
      </w:r>
      <w:r>
        <w:t xml:space="preserve">season and a composite was calculated only when the total number of</w:t>
      </w:r>
      <w:r>
        <w:t xml:space="preserve"> </w:t>
      </w:r>
      <w:r>
        <w:t xml:space="preserve">events in a given season (over 16 year period) exceed 60. In calculating</w:t>
      </w:r>
      <w:r>
        <w:t xml:space="preserve"> </w:t>
      </w:r>
      <w:r>
        <w:t xml:space="preserve">a composite, day 0 corresponds to the day when wet anomalies exceeded</w:t>
      </w:r>
      <w:r>
        <w:t xml:space="preserve"> </w:t>
      </w:r>
      <w:r>
        <w:t xml:space="preserve">the threshold in the sub-region in WEA, and negatively/positively lagged</w:t>
      </w:r>
      <w:r>
        <w:t xml:space="preserve"> </w:t>
      </w:r>
      <w:r>
        <w:t xml:space="preserve">composites are computed to explore the propagation characteristics of</w:t>
      </w:r>
      <w:r>
        <w:t xml:space="preserve"> </w:t>
      </w:r>
      <w:r>
        <w:t xml:space="preserve">the wet anomalies.</w:t>
      </w:r>
    </w:p>
    <w:p>
      <w:pPr>
        <w:pStyle w:val="BodyText"/>
      </w:pPr>
      <w:r>
        <w:t xml:space="preserve">Figure 7 (</w:t>
      </w:r>
      <w:r>
        <w:t xml:space="preserve">based on sub-region W3 and E1</w:t>
      </w:r>
      <w:r>
        <w:t xml:space="preserve">) shows composites of</w:t>
      </w:r>
      <w:r>
        <w:t xml:space="preserve"> </w:t>
      </w:r>
      <w:r>
        <w:t xml:space="preserve">precipitation anomalies and 850 hPa Kelvin wave divergence for boreal</w:t>
      </w:r>
      <w:r>
        <w:t xml:space="preserve"> </w:t>
      </w:r>
      <w:r>
        <w:t xml:space="preserve">spring (Figure 7a-d) and boreal autumn season (Figure 7e-h) over lag day</w:t>
      </w:r>
      <w:r>
        <w:t xml:space="preserve"> </w:t>
      </w:r>
      <w:r>
        <w:t xml:space="preserve">0 to day +3. It can be seen that wet anomalies propagate eastward</w:t>
      </w:r>
      <w:r>
        <w:t xml:space="preserve"> </w:t>
      </w:r>
      <w:r>
        <w:t xml:space="preserve">together with Kelvin wave convergence (dashed contours), while dry</w:t>
      </w:r>
      <w:r>
        <w:t xml:space="preserve"> </w:t>
      </w:r>
      <w:r>
        <w:t xml:space="preserve">anomalies coincide with Kelvin wave divergence (solid contours). In</w:t>
      </w:r>
      <w:r>
        <w:t xml:space="preserve"> </w:t>
      </w:r>
      <w:r>
        <w:t xml:space="preserve">addition, Figure 7 shows that Kelvin wave slows down in EEA. The</w:t>
      </w:r>
      <w:r>
        <w:t xml:space="preserve"> </w:t>
      </w:r>
      <w:r>
        <w:t xml:space="preserve">composites of events over various seasons for different sub-regions</w:t>
      </w:r>
      <w:r>
        <w:t xml:space="preserve"> </w:t>
      </w:r>
      <w:r>
        <w:t xml:space="preserve">indicated a similar structure as that seen in Figure 7 (not shown). This</w:t>
      </w:r>
      <w:r>
        <w:t xml:space="preserve"> </w:t>
      </w:r>
      <w:r>
        <w:t xml:space="preserve">Figure is consistent with Figure 6 and 3 and further highlights the role</w:t>
      </w:r>
      <w:r>
        <w:t xml:space="preserve"> </w:t>
      </w:r>
      <w:r>
        <w:t xml:space="preserve">of CCKWs in modulating the 2-day precipitation connection between WEA</w:t>
      </w:r>
      <w:r>
        <w:t xml:space="preserve"> </w:t>
      </w:r>
      <w:r>
        <w:t xml:space="preserve">and EEA.</w:t>
      </w:r>
    </w:p>
    <w:p>
      <w:pPr>
        <w:pStyle w:val="FigureWithCaption"/>
      </w:pPr>
      <w:r>
        <w:drawing>
          <wp:inline>
            <wp:extent cx="5334000" cy="5693244"/>
            <wp:effectExtent b="0" l="0" r="0" t="0"/>
            <wp:docPr descr="Lagged composite of events for (a, b, c, d) MAM and (e, f, g, h) SON for lag day 0, +1, +2, and +3, respectively. Precipitation anomalies that are statistically significant at the 95% confidence level are shaded. The contour lines show the 850 hPa Kelvin wave divergence (dashed lines negative). Contour line interval is  1.1x10-7s-1. " title="" id="1" name="Picture"/>
            <a:graphic>
              <a:graphicData uri="http://schemas.openxmlformats.org/drawingml/2006/picture">
                <pic:pic>
                  <pic:nvPicPr>
                    <pic:cNvPr descr="figures/figure8/fig7.png" id="0" name="Picture"/>
                    <pic:cNvPicPr>
                      <a:picLocks noChangeArrowheads="1" noChangeAspect="1"/>
                    </pic:cNvPicPr>
                  </pic:nvPicPr>
                  <pic:blipFill>
                    <a:blip r:embed="rId52"/>
                    <a:stretch>
                      <a:fillRect/>
                    </a:stretch>
                  </pic:blipFill>
                  <pic:spPr bwMode="auto">
                    <a:xfrm>
                      <a:off x="0" y="0"/>
                      <a:ext cx="5334000" cy="5693244"/>
                    </a:xfrm>
                    <a:prstGeom prst="rect">
                      <a:avLst/>
                    </a:prstGeom>
                    <a:noFill/>
                    <a:ln w="9525">
                      <a:noFill/>
                      <a:headEnd/>
                      <a:tailEnd/>
                    </a:ln>
                  </pic:spPr>
                </pic:pic>
              </a:graphicData>
            </a:graphic>
          </wp:inline>
        </w:drawing>
      </w:r>
    </w:p>
    <w:p>
      <w:pPr>
        <w:pStyle w:val="ImageCaption"/>
      </w:pPr>
      <w:r>
        <w:t xml:space="preserve">Lagged composite of events for (a, b, c, d) MAM and (e, f, g, h) SON for</w:t>
      </w:r>
      <w:r>
        <w:t xml:space="preserve"> </w:t>
      </w:r>
      <w:r>
        <w:t xml:space="preserve">lag day 0, +1, +2, and +3, respectively. Precipitation anomalies that</w:t>
      </w:r>
      <w:r>
        <w:t xml:space="preserve"> </w:t>
      </w:r>
      <w:r>
        <w:t xml:space="preserve">are statistically significant at the 95% confidence level are shaded.</w:t>
      </w:r>
      <w:r>
        <w:t xml:space="preserve"> </w:t>
      </w:r>
      <w:r>
        <w:t xml:space="preserve">The contour lines show the 850 hPa Kelvin wave divergence (dashed lines</w:t>
      </w:r>
      <w:r>
        <w:t xml:space="preserve"> </w:t>
      </w:r>
      <w:r>
        <w:t xml:space="preserve">negative). Contour line interval is </w:t>
      </w:r>
      <w:r>
        <w:t xml:space="preserve"> </w:t>
      </w:r>
      <w:r>
        <w:t xml:space="preserve">1.1x10</w:t>
      </w:r>
      <w:r>
        <w:rPr>
          <w:vertAlign w:val="superscript"/>
        </w:rPr>
        <w:t xml:space="preserve">-7</w:t>
      </w:r>
      <w:r>
        <w:t xml:space="preserve">s</w:t>
      </w:r>
      <w:r>
        <w:rPr>
          <w:vertAlign w:val="superscript"/>
        </w:rPr>
        <w:t xml:space="preserve">-1</w:t>
      </w:r>
      <w:r>
        <w:t xml:space="preserve">.</w:t>
      </w:r>
      <w:r>
        <w:t xml:space="preserve"> </w:t>
      </w:r>
    </w:p>
    <w:p>
      <w:pPr>
        <w:pStyle w:val="BodyText"/>
      </w:pPr>
      <w:r>
        <w:br w:type="textWrapping"/>
      </w:r>
      <w:r>
        <w:t xml:space="preserve">Composites of the mean sea level pressure in all the seasons indicate</w:t>
      </w:r>
      <w:r>
        <w:t xml:space="preserve"> </w:t>
      </w:r>
      <w:r>
        <w:t xml:space="preserve">that on day -2 and day -1, positive mean sea level pressure anomalies</w:t>
      </w:r>
      <w:r>
        <w:t xml:space="preserve"> </w:t>
      </w:r>
      <w:r>
        <w:t xml:space="preserve">dominate the Atlantic Ocean while negative mean sea level pressure</w:t>
      </w:r>
      <w:r>
        <w:t xml:space="preserve"> </w:t>
      </w:r>
      <w:r>
        <w:t xml:space="preserve">anomalies dominate the Indian Ocean (not shown). The positive mean</w:t>
      </w:r>
      <w:r>
        <w:t xml:space="preserve"> </w:t>
      </w:r>
      <w:r>
        <w:t xml:space="preserve">pressure anomalies are seen to shift eastward on day 0, +1, +2, +3 and</w:t>
      </w:r>
      <w:r>
        <w:t xml:space="preserve"> </w:t>
      </w:r>
      <w:r>
        <w:t xml:space="preserve">day +4. The orientation of the West-East pressure gradient is an</w:t>
      </w:r>
      <w:r>
        <w:t xml:space="preserve"> </w:t>
      </w:r>
      <w:r>
        <w:t xml:space="preserve">indication of a travelling large-scale tropical disturbance.</w:t>
      </w:r>
    </w:p>
    <w:p>
      <w:pPr>
        <w:pStyle w:val="FigureWithCaption"/>
      </w:pPr>
      <w:r>
        <w:drawing>
          <wp:inline>
            <wp:extent cx="5334000" cy="2920814"/>
            <wp:effectExtent b="0" l="0" r="0" t="0"/>
            <wp:docPr descr="Composite of SON daily TRMM precipitation anomalies (shaded) and SON 850 hPa wind anomalies (vectors) on (a) day 0, (b) day +1, (c) day +2 and (d) day +3. Only precipitation anomalies that are statistically significant at the 95% level are shown. The wind vectors are plotted regardless of statistical significance.  " title="" id="1" name="Picture"/>
            <a:graphic>
              <a:graphicData uri="http://schemas.openxmlformats.org/drawingml/2006/picture">
                <pic:pic>
                  <pic:nvPicPr>
                    <pic:cNvPr descr="figures/figure9/fig8.png" id="0" name="Picture"/>
                    <pic:cNvPicPr>
                      <a:picLocks noChangeArrowheads="1" noChangeAspect="1"/>
                    </pic:cNvPicPr>
                  </pic:nvPicPr>
                  <pic:blipFill>
                    <a:blip r:embed="rId53"/>
                    <a:stretch>
                      <a:fillRect/>
                    </a:stretch>
                  </pic:blipFill>
                  <pic:spPr bwMode="auto">
                    <a:xfrm>
                      <a:off x="0" y="0"/>
                      <a:ext cx="5334000" cy="2920814"/>
                    </a:xfrm>
                    <a:prstGeom prst="rect">
                      <a:avLst/>
                    </a:prstGeom>
                    <a:noFill/>
                    <a:ln w="9525">
                      <a:noFill/>
                      <a:headEnd/>
                      <a:tailEnd/>
                    </a:ln>
                  </pic:spPr>
                </pic:pic>
              </a:graphicData>
            </a:graphic>
          </wp:inline>
        </w:drawing>
      </w:r>
    </w:p>
    <w:p>
      <w:pPr>
        <w:pStyle w:val="ImageCaption"/>
      </w:pPr>
      <w:r>
        <w:t xml:space="preserve">Composite of SON daily TRMM precipitation anomalies (shaded) and SON 850</w:t>
      </w:r>
      <w:r>
        <w:t xml:space="preserve"> </w:t>
      </w:r>
      <w:r>
        <w:t xml:space="preserve">hPa wind anomalies (vectors) on (a) day 0, (b) day +1, (c) day +2 and</w:t>
      </w:r>
      <w:r>
        <w:t xml:space="preserve"> </w:t>
      </w:r>
      <w:r>
        <w:t xml:space="preserve">(d) day +3. Only precipitation anomalies that are statistically</w:t>
      </w:r>
      <w:r>
        <w:t xml:space="preserve"> </w:t>
      </w:r>
      <w:r>
        <w:t xml:space="preserve">significant at the 95% level are shown. The wind vectors are plotted</w:t>
      </w:r>
      <w:r>
        <w:t xml:space="preserve"> </w:t>
      </w:r>
      <w:r>
        <w:t xml:space="preserve">regardless of statistical significance. </w:t>
      </w:r>
      <w:r>
        <w:t xml:space="preserve"> </w:t>
      </w:r>
    </w:p>
    <w:p>
      <w:pPr>
        <w:pStyle w:val="BodyText"/>
      </w:pPr>
      <w:r>
        <w:t xml:space="preserve">Figure 8 shows a composite of SON daily precipitation anomalies and 850</w:t>
      </w:r>
      <w:r>
        <w:t xml:space="preserve"> </w:t>
      </w:r>
      <w:r>
        <w:t xml:space="preserve">hPa horizontal wind anomalies. First, it is evident in all the panels</w:t>
      </w:r>
      <w:r>
        <w:t xml:space="preserve"> </w:t>
      </w:r>
      <w:r>
        <w:t xml:space="preserve">that there is low-level convergence into the region of strong wet</w:t>
      </w:r>
      <w:r>
        <w:t xml:space="preserve"> </w:t>
      </w:r>
      <w:r>
        <w:t xml:space="preserve">anomalies. Second, this figure shows a wave-like signature. The trailing</w:t>
      </w:r>
      <w:r>
        <w:t xml:space="preserve"> </w:t>
      </w:r>
      <w:r>
        <w:t xml:space="preserve">end of dry anomalies (at about 32</w:t>
      </w:r>
      <w:r>
        <w:rPr>
          <w:vertAlign w:val="superscript"/>
        </w:rPr>
        <w:t xml:space="preserve">o</w:t>
      </w:r>
      <w:r>
        <w:t xml:space="preserve">E) in Figure 8e is</w:t>
      </w:r>
      <w:r>
        <w:t xml:space="preserve"> </w:t>
      </w:r>
      <w:r>
        <w:t xml:space="preserve">dominated by wet anomalies and to the west of this, dry anomalies are</w:t>
      </w:r>
      <w:r>
        <w:t xml:space="preserve"> </w:t>
      </w:r>
      <w:r>
        <w:t xml:space="preserve">seen, while further west (at about 9</w:t>
      </w:r>
      <w:r>
        <w:rPr>
          <w:vertAlign w:val="superscript"/>
        </w:rPr>
        <w:t xml:space="preserve">o</w:t>
      </w:r>
      <w:r>
        <w:t xml:space="preserve">E) weak wet</w:t>
      </w:r>
      <w:r>
        <w:t xml:space="preserve"> </w:t>
      </w:r>
      <w:r>
        <w:t xml:space="preserve">anomalies can be seen. This shows a</w:t>
      </w:r>
      <w:r>
        <w:t xml:space="preserve"> </w:t>
      </w:r>
      <w:r>
        <w:t xml:space="preserve">“</w:t>
      </w:r>
      <w:r>
        <w:t xml:space="preserve">dry-wet-dry-wet</w:t>
      </w:r>
      <w:r>
        <w:t xml:space="preserve">”</w:t>
      </w:r>
      <w:r>
        <w:t xml:space="preserve"> </w:t>
      </w:r>
      <w:r>
        <w:t xml:space="preserve">pattern, which</w:t>
      </w:r>
      <w:r>
        <w:t xml:space="preserve"> </w:t>
      </w:r>
      <w:r>
        <w:t xml:space="preserve">further highlighting the role of a convectively coupled wave in</w:t>
      </w:r>
      <w:r>
        <w:t xml:space="preserve"> </w:t>
      </w:r>
      <w:r>
        <w:t xml:space="preserve">modulating the 1-2 day precipitation linkage between WEA and EEA.    </w:t>
      </w:r>
    </w:p>
    <w:p>
      <w:pPr>
        <w:pStyle w:val="FigureWithCaption"/>
      </w:pPr>
      <w:r>
        <w:drawing>
          <wp:inline>
            <wp:extent cx="5334000" cy="2862241"/>
            <wp:effectExtent b="0" l="0" r="0" t="0"/>
            <wp:docPr descr="Composite of MAM daily TRMM precipitation anomalies (shaded) and MAM 850hPa geopotential height anomalies (contour lines) for (a) day 0, (b) day +1, (c) day +2 and (d) day +3. Only precipitation anomalies that are statistically significant at the 95% level are shown, and warm-coloured contours indicate positive geopotential height anomalies while cool-coloured contours correspond to negative anomalies. Contour line interval is 5.0x10-1 geopotential metres (gpm).   " title="" id="1" name="Picture"/>
            <a:graphic>
              <a:graphicData uri="http://schemas.openxmlformats.org/drawingml/2006/picture">
                <pic:pic>
                  <pic:nvPicPr>
                    <pic:cNvPr descr="figures/F-fig9/F-fig9.png" id="0" name="Picture"/>
                    <pic:cNvPicPr>
                      <a:picLocks noChangeArrowheads="1" noChangeAspect="1"/>
                    </pic:cNvPicPr>
                  </pic:nvPicPr>
                  <pic:blipFill>
                    <a:blip r:embed="rId54"/>
                    <a:stretch>
                      <a:fillRect/>
                    </a:stretch>
                  </pic:blipFill>
                  <pic:spPr bwMode="auto">
                    <a:xfrm>
                      <a:off x="0" y="0"/>
                      <a:ext cx="5334000" cy="2862241"/>
                    </a:xfrm>
                    <a:prstGeom prst="rect">
                      <a:avLst/>
                    </a:prstGeom>
                    <a:noFill/>
                    <a:ln w="9525">
                      <a:noFill/>
                      <a:headEnd/>
                      <a:tailEnd/>
                    </a:ln>
                  </pic:spPr>
                </pic:pic>
              </a:graphicData>
            </a:graphic>
          </wp:inline>
        </w:drawing>
      </w:r>
    </w:p>
    <w:p>
      <w:pPr>
        <w:pStyle w:val="ImageCaption"/>
      </w:pPr>
      <w:r>
        <w:t xml:space="preserve">Composite of MAM daily TRMM precipitation anomalies (shaded) and MAM</w:t>
      </w:r>
      <w:r>
        <w:t xml:space="preserve"> </w:t>
      </w:r>
      <w:r>
        <w:t xml:space="preserve">850hPa geopotential height anomalies (contour lines) for (a) day 0, (b)</w:t>
      </w:r>
      <w:r>
        <w:t xml:space="preserve"> </w:t>
      </w:r>
      <w:r>
        <w:t xml:space="preserve">day +1, (c) day +2 and (d) day +3. Only precipitation anomalies that are</w:t>
      </w:r>
      <w:r>
        <w:t xml:space="preserve"> </w:t>
      </w:r>
      <w:r>
        <w:t xml:space="preserve">statistically significant at the 95% level are shown, and warm-coloured</w:t>
      </w:r>
      <w:r>
        <w:t xml:space="preserve"> </w:t>
      </w:r>
      <w:r>
        <w:t xml:space="preserve">contours indicate positive geopotential height anomalies while</w:t>
      </w:r>
      <w:r>
        <w:t xml:space="preserve"> </w:t>
      </w:r>
      <w:r>
        <w:t xml:space="preserve">cool-coloured contours correspond to negative anomalies. Contour line</w:t>
      </w:r>
      <w:r>
        <w:t xml:space="preserve"> </w:t>
      </w:r>
      <w:r>
        <w:t xml:space="preserve">interval is 5.0x10</w:t>
      </w:r>
      <w:r>
        <w:rPr>
          <w:vertAlign w:val="superscript"/>
        </w:rPr>
        <w:t xml:space="preserve">-1</w:t>
      </w:r>
      <w:r>
        <w:t xml:space="preserve"> </w:t>
      </w:r>
      <w:r>
        <w:t xml:space="preserve">geopotential metres (gpm).  </w:t>
      </w:r>
      <w:r>
        <w:t xml:space="preserve"> </w:t>
      </w:r>
    </w:p>
    <w:p>
      <w:pPr>
        <w:pStyle w:val="BodyText"/>
      </w:pPr>
      <w:r>
        <w:br w:type="textWrapping"/>
      </w:r>
      <w:r>
        <w:t xml:space="preserve">Figure 9 shows a composite of MAM daily precipitation anomalies and</w:t>
      </w:r>
      <w:r>
        <w:t xml:space="preserve"> </w:t>
      </w:r>
      <w:r>
        <w:t xml:space="preserve">850hPa geopotential height anomalies. Positive geopotential height</w:t>
      </w:r>
      <w:r>
        <w:t xml:space="preserve"> </w:t>
      </w:r>
      <w:r>
        <w:t xml:space="preserve">anomalies are seen to advance eastward in coherence with the wet</w:t>
      </w:r>
      <w:r>
        <w:t xml:space="preserve"> </w:t>
      </w:r>
      <w:r>
        <w:t xml:space="preserve">anomalies from lag day 0 to lag day +3. It can be seen in Figure 9 that</w:t>
      </w:r>
      <w:r>
        <w:t xml:space="preserve"> </w:t>
      </w:r>
      <w:r>
        <w:t xml:space="preserve">generally, the positive geopotential anomalies are in phase with the low</w:t>
      </w:r>
      <w:r>
        <w:t xml:space="preserve"> </w:t>
      </w:r>
      <w:r>
        <w:t xml:space="preserve">level westerly wind anomalies in Figure 8. Figure 9 provides further</w:t>
      </w:r>
      <w:r>
        <w:t xml:space="preserve"> </w:t>
      </w:r>
      <w:r>
        <w:t xml:space="preserve">evidence of a Kelvin wave.</w:t>
      </w:r>
    </w:p>
    <w:p>
      <w:pPr>
        <w:pStyle w:val="BodyText"/>
      </w:pPr>
      <w:r>
        <w:t xml:space="preserve">Given that previous work has suggested that the MJO influences</w:t>
      </w:r>
      <w:r>
        <w:t xml:space="preserve"> </w:t>
      </w:r>
      <w:r>
        <w:t xml:space="preserve">precipitation over sub-regions in EEA</w:t>
      </w:r>
      <w:r>
        <w:t xml:space="preserve"> </w:t>
      </w:r>
      <w:r>
        <w:t xml:space="preserve">(e.g </w:t>
      </w:r>
      <w:hyperlink r:id="rId35">
        <w:r>
          <w:rPr>
            <w:rStyle w:val="Hyperlink"/>
          </w:rPr>
          <w:t xml:space="preserve">(Pohl</w:t>
        </w:r>
        <w:r>
          <w:rPr>
            <w:rStyle w:val="Hyperlink"/>
          </w:rPr>
          <w:t xml:space="preserve"> </w:t>
        </w:r>
        <w:r>
          <w:rPr>
            <w:rStyle w:val="Hyperlink"/>
          </w:rPr>
          <w:t xml:space="preserve">2006)</w:t>
        </w:r>
      </w:hyperlink>
      <w:r>
        <w:t xml:space="preserve"> ), it can be speculated that the MJO may have a role in the</w:t>
      </w:r>
      <w:r>
        <w:t xml:space="preserve"> </w:t>
      </w:r>
      <w:r>
        <w:t xml:space="preserve">propagation of wet anomalies from WEA onto EEA. Consequently, we</w:t>
      </w:r>
      <w:r>
        <w:t xml:space="preserve"> </w:t>
      </w:r>
      <w:r>
        <w:t xml:space="preserve">investigated whether the events identified in Section 5 occur in a</w:t>
      </w:r>
      <w:r>
        <w:t xml:space="preserve"> </w:t>
      </w:r>
      <w:r>
        <w:t xml:space="preserve">preferred MJO phase using the Real-time Multivariate MJO Index; RMM1 and</w:t>
      </w:r>
      <w:r>
        <w:t xml:space="preserve"> </w:t>
      </w:r>
      <w:r>
        <w:t xml:space="preserve">RMM2 (Wheeler and Hendon, 2004) . Our results indicate that the 2-day</w:t>
      </w:r>
      <w:r>
        <w:t xml:space="preserve"> </w:t>
      </w:r>
      <w:r>
        <w:t xml:space="preserve">precipitation relationship may not be dependent on MJO activity, since</w:t>
      </w:r>
      <w:r>
        <w:t xml:space="preserve"> </w:t>
      </w:r>
      <w:r>
        <w:t xml:space="preserve">no particular MJO phase is favourable for the occurrence of the events</w:t>
      </w:r>
      <w:r>
        <w:t xml:space="preserve"> </w:t>
      </w:r>
      <w:r>
        <w:t xml:space="preserve">(not shown).</w:t>
      </w:r>
    </w:p>
    <w:p>
      <w:pPr>
        <w:pStyle w:val="BodyText"/>
      </w:pPr>
      <w:r>
        <w:br w:type="textWrapping"/>
      </w:r>
    </w:p>
    <w:p>
      <w:pPr>
        <w:pStyle w:val="Heading1"/>
      </w:pPr>
      <w:bookmarkStart w:id="55" w:name="summary"/>
      <w:bookmarkEnd w:id="55"/>
      <w:r>
        <w:t xml:space="preserve">Summary</w:t>
      </w:r>
    </w:p>
    <w:p>
      <w:pPr>
        <w:pStyle w:val="FirstParagraph"/>
      </w:pPr>
      <w:r>
        <w:br w:type="textWrapping"/>
      </w:r>
      <w:r>
        <w:t xml:space="preserve">This study examines daily precipitation anomalies, ERA-I dynamical</w:t>
      </w:r>
      <w:r>
        <w:t xml:space="preserve"> </w:t>
      </w:r>
      <w:r>
        <w:t xml:space="preserve">fields and a novel equatorial wave dataset. The aim of the study was to</w:t>
      </w:r>
      <w:r>
        <w:t xml:space="preserve"> </w:t>
      </w:r>
      <w:r>
        <w:t xml:space="preserve">investigate the relationship in precipitation between Western Equatorial</w:t>
      </w:r>
      <w:r>
        <w:t xml:space="preserve"> </w:t>
      </w:r>
      <w:r>
        <w:t xml:space="preserve">Africa (WEA) and Eastern Equatorial Africa (EEA) by considering small</w:t>
      </w:r>
      <w:r>
        <w:t xml:space="preserve"> </w:t>
      </w:r>
      <w:r>
        <w:t xml:space="preserve">sub-regions in the domain of interest. The study started by identifying</w:t>
      </w:r>
      <w:r>
        <w:t xml:space="preserve"> </w:t>
      </w:r>
      <w:r>
        <w:t xml:space="preserve">the sub-regions that exhibited similar daily precipitation</w:t>
      </w:r>
      <w:r>
        <w:t xml:space="preserve"> </w:t>
      </w:r>
      <w:r>
        <w:t xml:space="preserve">characteristics using an EOT analysis.  In doing so, the daily</w:t>
      </w:r>
      <w:r>
        <w:t xml:space="preserve"> </w:t>
      </w:r>
      <w:r>
        <w:t xml:space="preserve">precipitation anomalies were used to objectively identify sub-regions of</w:t>
      </w:r>
      <w:r>
        <w:t xml:space="preserve"> </w:t>
      </w:r>
      <w:r>
        <w:t xml:space="preserve">similar daily precipitation characteristics, rather than relying on a</w:t>
      </w:r>
      <w:r>
        <w:t xml:space="preserve"> </w:t>
      </w:r>
      <w:r>
        <w:t xml:space="preserve">subjective identification.</w:t>
      </w:r>
    </w:p>
    <w:p>
      <w:pPr>
        <w:pStyle w:val="BodyText"/>
      </w:pPr>
      <w:r>
        <w:br w:type="textWrapping"/>
      </w:r>
      <w:r>
        <w:t xml:space="preserve">Lead/lag correlation coefficients were calculated, as well as</w:t>
      </w:r>
      <w:r>
        <w:t xml:space="preserve"> </w:t>
      </w:r>
      <w:r>
        <w:t xml:space="preserve">spatio-temporal correlation coefficient patterns between time-series</w:t>
      </w:r>
      <w:r>
        <w:t xml:space="preserve"> </w:t>
      </w:r>
      <w:r>
        <w:t xml:space="preserve">averaged over a sub-region and grid -point timeseries. The lead/lag</w:t>
      </w:r>
      <w:r>
        <w:t xml:space="preserve"> </w:t>
      </w:r>
      <w:r>
        <w:t xml:space="preserve">correlation analysis shows statistically significant peak correlation</w:t>
      </w:r>
      <w:r>
        <w:t xml:space="preserve"> </w:t>
      </w:r>
      <w:r>
        <w:t xml:space="preserve">coefficient on day +1 to day +2, suggesting that precipitation over EEA</w:t>
      </w:r>
      <w:r>
        <w:t xml:space="preserve"> </w:t>
      </w:r>
      <w:r>
        <w:t xml:space="preserve">lags that in WEA by 1-2 days. It is also seen that the lag at which the</w:t>
      </w:r>
      <w:r>
        <w:t xml:space="preserve"> </w:t>
      </w:r>
      <w:r>
        <w:t xml:space="preserve">correlation coefficient peaked is contingent upon the distance between</w:t>
      </w:r>
      <w:r>
        <w:t xml:space="preserve"> </w:t>
      </w:r>
      <w:r>
        <w:t xml:space="preserve">the sub-regions. For sub-regions that are far apart (e.g. W1 and E1),</w:t>
      </w:r>
      <w:r>
        <w:t xml:space="preserve"> </w:t>
      </w:r>
      <w:r>
        <w:t xml:space="preserve">the correlation coefficient peaked at day +2 while for the sub-regions</w:t>
      </w:r>
      <w:r>
        <w:t xml:space="preserve"> </w:t>
      </w:r>
      <w:r>
        <w:t xml:space="preserve">that were close to one another (e.g. W4 and E1), the correlation</w:t>
      </w:r>
      <w:r>
        <w:t xml:space="preserve"> </w:t>
      </w:r>
      <w:r>
        <w:t xml:space="preserve">coefficient peaked on day +1. This suggests a coherently propagating</w:t>
      </w:r>
      <w:r>
        <w:t xml:space="preserve"> </w:t>
      </w:r>
      <w:r>
        <w:t xml:space="preserve">synoptic-scale system.</w:t>
      </w:r>
    </w:p>
    <w:p>
      <w:pPr>
        <w:pStyle w:val="BodyText"/>
      </w:pPr>
      <w:r>
        <w:br w:type="textWrapping"/>
      </w:r>
      <w:r>
        <w:t xml:space="preserve">Consistent with the results of the lead/lag correlations between the</w:t>
      </w:r>
      <w:r>
        <w:t xml:space="preserve"> </w:t>
      </w:r>
      <w:r>
        <w:t xml:space="preserve">various sub-regions, the spatio-temporal correlation coefficient</w:t>
      </w:r>
      <w:r>
        <w:t xml:space="preserve"> </w:t>
      </w:r>
      <w:r>
        <w:t xml:space="preserve">patterns have revealed a coherent eastward/northeastward propagating</w:t>
      </w:r>
      <w:r>
        <w:t xml:space="preserve"> </w:t>
      </w:r>
      <w:r>
        <w:t xml:space="preserve">signal. The propagation structure of the coherent eastward/northeastward</w:t>
      </w:r>
      <w:r>
        <w:t xml:space="preserve"> </w:t>
      </w:r>
      <w:r>
        <w:t xml:space="preserve">signal (with an estimated speed of about 12 m s-1) suggests a role of a</w:t>
      </w:r>
      <w:r>
        <w:t xml:space="preserve"> </w:t>
      </w:r>
      <w:r>
        <w:t xml:space="preserve">large-scale disturbance in modulating the precipitation relationship</w:t>
      </w:r>
      <w:r>
        <w:t xml:space="preserve"> </w:t>
      </w:r>
      <w:r>
        <w:t xml:space="preserve">between WEA and EEA. Furthermore, the contrasting signal shown in the</w:t>
      </w:r>
      <w:r>
        <w:t xml:space="preserve"> </w:t>
      </w:r>
      <w:r>
        <w:t xml:space="preserve">patterns between the Highlands in South Sudan (E2) and Central WEA has</w:t>
      </w:r>
      <w:r>
        <w:t xml:space="preserve"> </w:t>
      </w:r>
      <w:r>
        <w:t xml:space="preserve">highlighted a weak precipitation dipole. This result lends support to</w:t>
      </w:r>
      <w:r>
        <w:t xml:space="preserve"> </w:t>
      </w:r>
      <w:r>
        <w:t xml:space="preserve">the findings</w:t>
      </w:r>
      <w:r>
        <w:t xml:space="preserve"> </w:t>
      </w:r>
      <w:r>
        <w:t xml:space="preserve">in </w:t>
      </w:r>
      <w:hyperlink r:id="rId23">
        <w:r>
          <w:rPr>
            <w:rStyle w:val="Hyperlink"/>
          </w:rPr>
          <w:t xml:space="preserve">Mekonnen</w:t>
        </w:r>
        <w:r>
          <w:rPr>
            <w:rStyle w:val="Hyperlink"/>
          </w:rPr>
          <w:t xml:space="preserve"> </w:t>
        </w:r>
        <w:r>
          <w:rPr>
            <w:rStyle w:val="Hyperlink"/>
          </w:rPr>
          <w:t xml:space="preserve">et al. (2016)</w:t>
        </w:r>
      </w:hyperlink>
      <w:r>
        <w:t xml:space="preserve">, who proposed a dipole relationship in convective</w:t>
      </w:r>
      <w:r>
        <w:t xml:space="preserve"> </w:t>
      </w:r>
      <w:r>
        <w:t xml:space="preserve">activity between East Africa and the Congo Basin.</w:t>
      </w:r>
    </w:p>
    <w:p>
      <w:pPr>
        <w:pStyle w:val="BodyText"/>
      </w:pPr>
      <w:r>
        <w:br w:type="textWrapping"/>
      </w:r>
      <w:r>
        <w:t xml:space="preserve">The structure of the spatio-temporal correlation patterns for the other</w:t>
      </w:r>
      <w:r>
        <w:t xml:space="preserve"> </w:t>
      </w:r>
      <w:r>
        <w:t xml:space="preserve">sub-regions (not shown) over lag day 0, -1, -2, and -3 suggest that</w:t>
      </w:r>
      <w:r>
        <w:t xml:space="preserve"> </w:t>
      </w:r>
      <w:r>
        <w:t xml:space="preserve">while precipitation over EEA has a 1-2 day relationship with</w:t>
      </w:r>
      <w:r>
        <w:t xml:space="preserve"> </w:t>
      </w:r>
      <w:r>
        <w:t xml:space="preserve">precipitation over WEA, precipitation over several sub-regions in EEA is</w:t>
      </w:r>
      <w:r>
        <w:t xml:space="preserve"> </w:t>
      </w:r>
      <w:r>
        <w:t xml:space="preserve">also influenced by various features not necessarily propagating from WEA</w:t>
      </w:r>
      <w:r>
        <w:t xml:space="preserve"> </w:t>
      </w:r>
      <w:r>
        <w:t xml:space="preserve">but rather persisting within EEA.  This is consistent with earlier</w:t>
      </w:r>
      <w:r>
        <w:t xml:space="preserve"> </w:t>
      </w:r>
      <w:r>
        <w:t xml:space="preserve">studies that have suggested the</w:t>
      </w:r>
      <w:r>
        <w:t xml:space="preserve"> </w:t>
      </w:r>
      <w:r>
        <w:t xml:space="preserve">“</w:t>
      </w:r>
      <w:r>
        <w:t xml:space="preserve">localness</w:t>
      </w:r>
      <w:r>
        <w:t xml:space="preserve">”</w:t>
      </w:r>
      <w:r>
        <w:t xml:space="preserve">’ of precipitation over EEA</w:t>
      </w:r>
      <w:r>
        <w:t xml:space="preserve"> </w:t>
      </w:r>
      <w:r>
        <w:t xml:space="preserve">(e.g  </w:t>
      </w:r>
      <w:hyperlink r:id="rId56">
        <w:r>
          <w:rPr>
            <w:rStyle w:val="Hyperlink"/>
          </w:rPr>
          <w:t xml:space="preserve">Nicholson</w:t>
        </w:r>
        <w:r>
          <w:rPr>
            <w:rStyle w:val="Hyperlink"/>
          </w:rPr>
          <w:t xml:space="preserve"> </w:t>
        </w:r>
        <w:r>
          <w:rPr>
            <w:rStyle w:val="Hyperlink"/>
          </w:rPr>
          <w:t xml:space="preserve">2011</w:t>
        </w:r>
      </w:hyperlink>
      <w:r>
        <w:t xml:space="preserve">). </w:t>
      </w:r>
    </w:p>
    <w:p>
      <w:pPr>
        <w:pStyle w:val="BodyText"/>
      </w:pPr>
      <w:r>
        <w:br w:type="textWrapping"/>
      </w:r>
      <w:r>
        <w:t xml:space="preserve">The identification of events in the various seasons allowed a further</w:t>
      </w:r>
      <w:r>
        <w:t xml:space="preserve"> </w:t>
      </w:r>
      <w:r>
        <w:t xml:space="preserve">investigation as to the driver modulating the 1-2 day precipitation</w:t>
      </w:r>
      <w:r>
        <w:t xml:space="preserve"> </w:t>
      </w:r>
      <w:r>
        <w:t xml:space="preserve">connection. Using a novel Equatorial wave dataset, the collocation of</w:t>
      </w:r>
      <w:r>
        <w:t xml:space="preserve"> </w:t>
      </w:r>
      <w:r>
        <w:t xml:space="preserve">wet anomalies and Kelvin Wave convergence was evident in a</w:t>
      </w:r>
      <w:r>
        <w:t xml:space="preserve"> </w:t>
      </w:r>
      <w:r>
        <w:t xml:space="preserve">time-longitude plot (Fig. 5) and composites (Fig. 7, 8). As shown</w:t>
      </w:r>
      <w:r>
        <w:t xml:space="preserve"> </w:t>
      </w:r>
      <w:r>
        <w:t xml:space="preserve">in </w:t>
      </w:r>
      <w:hyperlink r:id="rId57">
        <w:r>
          <w:rPr>
            <w:rStyle w:val="Hyperlink"/>
          </w:rPr>
          <w:t xml:space="preserve">Wheeler</w:t>
        </w:r>
        <w:r>
          <w:rPr>
            <w:rStyle w:val="Hyperlink"/>
          </w:rPr>
          <w:t xml:space="preserve"> </w:t>
        </w:r>
        <w:r>
          <w:rPr>
            <w:rStyle w:val="Hyperlink"/>
          </w:rPr>
          <w:t xml:space="preserve">et al. (2015)</w:t>
        </w:r>
      </w:hyperlink>
      <w:r>
        <w:t xml:space="preserve">, it is also seen that anomalous westerly flow and wet</w:t>
      </w:r>
      <w:r>
        <w:t xml:space="preserve"> </w:t>
      </w:r>
      <w:r>
        <w:t xml:space="preserve">anomalies in Figure 8 are in phase with the positive geopotential height</w:t>
      </w:r>
      <w:r>
        <w:t xml:space="preserve"> </w:t>
      </w:r>
      <w:r>
        <w:t xml:space="preserve">anomalies in Figure 9. This suggests that CCKWs play a role in</w:t>
      </w:r>
      <w:r>
        <w:t xml:space="preserve"> </w:t>
      </w:r>
      <w:r>
        <w:t xml:space="preserve">modulating the 1-2 day precipitation connection between WEA and EEA in</w:t>
      </w:r>
      <w:r>
        <w:t xml:space="preserve"> </w:t>
      </w:r>
      <w:r>
        <w:t xml:space="preserve">most seasons, more particularly </w:t>
      </w:r>
      <w:r>
        <w:t xml:space="preserve">during March-April-May and</w:t>
      </w:r>
      <w:r>
        <w:t xml:space="preserve"> </w:t>
      </w:r>
      <w:r>
        <w:t xml:space="preserve">September-October-November</w:t>
      </w:r>
      <w:r>
        <w:t xml:space="preserve">. This is consistent with findings</w:t>
      </w:r>
      <w:r>
        <w:t xml:space="preserve"> </w:t>
      </w:r>
      <w:r>
        <w:t xml:space="preserve">in </w:t>
      </w:r>
      <w:hyperlink r:id="rId57">
        <w:r>
          <w:rPr>
            <w:rStyle w:val="Hyperlink"/>
          </w:rPr>
          <w:t xml:space="preserve">Zipser</w:t>
        </w:r>
        <w:r>
          <w:rPr>
            <w:rStyle w:val="Hyperlink"/>
          </w:rPr>
          <w:t xml:space="preserve"> </w:t>
        </w:r>
        <w:r>
          <w:rPr>
            <w:rStyle w:val="Hyperlink"/>
          </w:rPr>
          <w:t xml:space="preserve">et al. (2006)</w:t>
        </w:r>
      </w:hyperlink>
      <w:r>
        <w:t xml:space="preserve">, who found an apparent occurrence of intense convection</w:t>
      </w:r>
      <w:r>
        <w:t xml:space="preserve"> </w:t>
      </w:r>
      <w:r>
        <w:t xml:space="preserve">in all seasons over WEA. Our results have therefore highlighted the</w:t>
      </w:r>
      <w:r>
        <w:t xml:space="preserve"> </w:t>
      </w:r>
      <w:r>
        <w:t xml:space="preserve">importance of considering the role of CCKWs in synoptic-timescale</w:t>
      </w:r>
      <w:r>
        <w:t xml:space="preserve"> </w:t>
      </w:r>
      <w:r>
        <w:t xml:space="preserve">forecasting, particularly over EEA.  Ongoing work is investigating this</w:t>
      </w:r>
      <w:r>
        <w:t xml:space="preserve"> </w:t>
      </w:r>
      <w:r>
        <w:t xml:space="preserve">precipitation relationship in convection-permitting model simulations</w:t>
      </w:r>
      <w:r>
        <w:t xml:space="preserve"> </w:t>
      </w:r>
      <w:r>
        <w:t xml:space="preserve">using the Pan-African Convection-Permitting Regional Climate Simulation</w:t>
      </w:r>
      <w:r>
        <w:t xml:space="preserve"> </w:t>
      </w:r>
      <w:r>
        <w:t xml:space="preserve">from the Met Office Unified Model (CP4-Africa).</w:t>
      </w:r>
    </w:p>
    <w:p>
      <w:pPr>
        <w:pStyle w:val="BodyText"/>
      </w:pPr>
      <w:r>
        <w:br w:type="textWrapping"/>
      </w:r>
    </w:p>
    <w:p>
      <w:pPr>
        <w:pStyle w:val="Heading1"/>
      </w:pPr>
      <w:bookmarkStart w:id="58" w:name="supplementary-material"/>
      <w:bookmarkEnd w:id="58"/>
      <w:r>
        <w:t xml:space="preserve">Supplementary Material</w:t>
      </w:r>
    </w:p>
    <w:p>
      <w:pPr>
        <w:pStyle w:val="FirstParagraph"/>
      </w:pPr>
      <w:r>
        <w:br w:type="textWrapping"/>
      </w:r>
    </w:p>
    <w:p>
      <w:pPr>
        <w:pStyle w:val="FigureWithCaption"/>
      </w:pPr>
      <w:r>
        <w:drawing>
          <wp:inline>
            <wp:extent cx="4177492" cy="2419031"/>
            <wp:effectExtent b="0" l="0" r="0" t="0"/>
            <wp:docPr descr="The sub-regions identified by subjecting 16-years of daily TRMM anomalies to an Empirical Orthogonal Teleconnection algorithm as described in section 3. The sub-regions over the Oceans and those whose base-points were along the 29o E (boundary to delineate WEA from EEA) were disregarded. The letter W attached to the number indicates that the sub-region is located in Western Equatorial Africa and E likewise for EEA.  Since the order in which these sub-regions were identified does not matter, they were renamed for clarity.   " title="" id="1" name="Picture"/>
            <a:graphic>
              <a:graphicData uri="http://schemas.openxmlformats.org/drawingml/2006/picture">
                <pic:pic>
                  <pic:nvPicPr>
                    <pic:cNvPr descr="figures/S1-sub-regions/S1-sub-regions.png" id="0" name="Picture"/>
                    <pic:cNvPicPr>
                      <a:picLocks noChangeArrowheads="1" noChangeAspect="1"/>
                    </pic:cNvPicPr>
                  </pic:nvPicPr>
                  <pic:blipFill>
                    <a:blip r:embed="rId59"/>
                    <a:stretch>
                      <a:fillRect/>
                    </a:stretch>
                  </pic:blipFill>
                  <pic:spPr bwMode="auto">
                    <a:xfrm>
                      <a:off x="0" y="0"/>
                      <a:ext cx="4177492" cy="2419031"/>
                    </a:xfrm>
                    <a:prstGeom prst="rect">
                      <a:avLst/>
                    </a:prstGeom>
                    <a:noFill/>
                    <a:ln w="9525">
                      <a:noFill/>
                      <a:headEnd/>
                      <a:tailEnd/>
                    </a:ln>
                  </pic:spPr>
                </pic:pic>
              </a:graphicData>
            </a:graphic>
          </wp:inline>
        </w:drawing>
      </w:r>
    </w:p>
    <w:p>
      <w:pPr>
        <w:pStyle w:val="ImageCaption"/>
      </w:pPr>
      <w:r>
        <w:t xml:space="preserve">The sub-regions identified by subjecting 16-years of daily TRMM</w:t>
      </w:r>
      <w:r>
        <w:t xml:space="preserve"> </w:t>
      </w:r>
      <w:r>
        <w:t xml:space="preserve">anomalies to an Empirical Orthogonal Teleconnection algorithm as</w:t>
      </w:r>
      <w:r>
        <w:t xml:space="preserve"> </w:t>
      </w:r>
      <w:r>
        <w:t xml:space="preserve">described in section 3. The sub-regions over the Oceans and those whose</w:t>
      </w:r>
      <w:r>
        <w:t xml:space="preserve"> </w:t>
      </w:r>
      <w:r>
        <w:t xml:space="preserve">base-points were along the 29</w:t>
      </w:r>
      <w:r>
        <w:rPr>
          <w:vertAlign w:val="superscript"/>
        </w:rPr>
        <w:t xml:space="preserve">o</w:t>
      </w:r>
      <w:r>
        <w:t xml:space="preserve"> E (boundary to</w:t>
      </w:r>
      <w:r>
        <w:t xml:space="preserve"> </w:t>
      </w:r>
      <w:r>
        <w:t xml:space="preserve">delineate WEA from EEA) were disregarded. The letter</w:t>
      </w:r>
      <w:r>
        <w:t xml:space="preserve"> </w:t>
      </w:r>
      <w:r>
        <w:t xml:space="preserve">“</w:t>
      </w:r>
      <w:r>
        <w:t xml:space="preserve">W</w:t>
      </w:r>
      <w:r>
        <w:t xml:space="preserve">”</w:t>
      </w:r>
      <w:r>
        <w:t xml:space="preserve"> </w:t>
      </w:r>
      <w:r>
        <w:t xml:space="preserve">attached to</w:t>
      </w:r>
      <w:r>
        <w:t xml:space="preserve"> </w:t>
      </w:r>
      <w:r>
        <w:t xml:space="preserve">the number indicates that the sub-region is located in Western</w:t>
      </w:r>
      <w:r>
        <w:t xml:space="preserve"> </w:t>
      </w:r>
      <w:r>
        <w:t xml:space="preserve">Equatorial Africa and</w:t>
      </w:r>
      <w:r>
        <w:t xml:space="preserve"> </w:t>
      </w:r>
      <w:r>
        <w:t xml:space="preserve">“</w:t>
      </w:r>
      <w:r>
        <w:t xml:space="preserve">E</w:t>
      </w:r>
      <w:r>
        <w:t xml:space="preserve">”</w:t>
      </w:r>
      <w:r>
        <w:t xml:space="preserve"> </w:t>
      </w:r>
      <w:r>
        <w:t xml:space="preserve">likewise for EEA.  Since the order in which</w:t>
      </w:r>
      <w:r>
        <w:t xml:space="preserve"> </w:t>
      </w:r>
      <w:r>
        <w:t xml:space="preserve">these sub-regions were identified does not matter, they were renamed for</w:t>
      </w:r>
      <w:r>
        <w:t xml:space="preserve"> </w:t>
      </w:r>
      <w:r>
        <w:t xml:space="preserve">clarity.  </w:t>
      </w:r>
      <w:r>
        <w:t xml:space="preserve"> </w:t>
      </w:r>
    </w:p>
    <w:p>
      <w:pPr>
        <w:pStyle w:val="Heading1"/>
      </w:pPr>
      <w:bookmarkStart w:id="60" w:name="references"/>
      <w:bookmarkEnd w:id="60"/>
      <w:r>
        <w:t xml:space="preserve">References</w:t>
      </w:r>
    </w:p>
    <w:p>
      <w:pPr>
        <w:pStyle w:val="FirstParagraph"/>
      </w:pPr>
      <w:r>
        <w:t xml:space="preserve">Baranowski, D.B., Flatau, M.K., Flatau, P.J., Matthews, A.J., 2016.</w:t>
      </w:r>
      <w:r>
        <w:t xml:space="preserve"> </w:t>
      </w:r>
      <w:r>
        <w:t xml:space="preserve">Impact of atmospheric convectively coupled equatorial Kelvin waves on upper ocean variability</w:t>
      </w:r>
      <w:r>
        <w:t xml:space="preserve">. Journal of Geophysical Research: Atmospheres 121, 2045–2059.</w:t>
      </w:r>
    </w:p>
    <w:p>
      <w:pPr>
        <w:pStyle w:val="BodyText"/>
      </w:pPr>
      <w:r>
        <w:t xml:space="preserve">Berhane, F., Zaitchik, B., 2014.</w:t>
      </w:r>
      <w:r>
        <w:t xml:space="preserve"> </w:t>
      </w:r>
      <w:r>
        <w:t xml:space="preserve">Modulation of daily precipitation over East Africa by the Madden–Julian oscillation</w:t>
      </w:r>
      <w:r>
        <w:t xml:space="preserve">. Journal of Climate 27, 6016–6034.</w:t>
      </w:r>
    </w:p>
    <w:p>
      <w:pPr>
        <w:pStyle w:val="BodyText"/>
      </w:pPr>
      <w:r>
        <w:t xml:space="preserve">Black, E., Tarnavsky, E., Maidment, R., Greatrex, H., Mookerjee, A., Quaife, T., Brown, M., 2016.</w:t>
      </w:r>
      <w:r>
        <w:t xml:space="preserve"> </w:t>
      </w:r>
      <w:r>
        <w:t xml:space="preserve">The use of remotely sensed rainfall for managing drought risk: A case study of weather index insurance in Zambia</w:t>
      </w:r>
      <w:r>
        <w:t xml:space="preserve">. Remote Sensing 8, 342.</w:t>
      </w:r>
    </w:p>
    <w:p>
      <w:pPr>
        <w:pStyle w:val="BodyText"/>
      </w:pPr>
      <w:r>
        <w:t xml:space="preserve">Dee, D.P., Uppala, S.M., Simmons, A.J., Berrisford, P., Poli, P., Kobayashi, S., Andrae, U., Balmaseda, M.A., Balsamo, G., Bauer, d P., others, 2011.</w:t>
      </w:r>
      <w:r>
        <w:t xml:space="preserve"> </w:t>
      </w:r>
      <w:r>
        <w:t xml:space="preserve">The ERA-Interim reanalysis: Configuration and performance of the data assimilation system</w:t>
      </w:r>
      <w:r>
        <w:t xml:space="preserve">. Quarterly Journal of the royal meteorological society 137, 553–597.</w:t>
      </w:r>
    </w:p>
    <w:p>
      <w:pPr>
        <w:pStyle w:val="BodyText"/>
      </w:pPr>
      <w:r>
        <w:t xml:space="preserve">Dezfuli, A.K., 2011.</w:t>
      </w:r>
      <w:r>
        <w:t xml:space="preserve"> </w:t>
      </w:r>
      <w:r>
        <w:t xml:space="preserve">Spatio-temporal variability of seasonal rainfall in western equatorial Africa</w:t>
      </w:r>
      <w:r>
        <w:t xml:space="preserve">. Theoretical and applied climatology 104, 57–69.</w:t>
      </w:r>
    </w:p>
    <w:p>
      <w:pPr>
        <w:pStyle w:val="BodyText"/>
      </w:pPr>
      <w:r>
        <w:t xml:space="preserve">Dinku, T., Ceccato, P., Grover-Kopec, E., Lemma, M., Connor, S.J., Ropelewski, C.F., 2007.</w:t>
      </w:r>
      <w:r>
        <w:t xml:space="preserve"> </w:t>
      </w:r>
      <w:r>
        <w:t xml:space="preserve">Validation of satellite rainfall products over East Africa’s complex topography</w:t>
      </w:r>
      <w:r>
        <w:t xml:space="preserve">. International Journal of Remote Sensing 28, 1503–1526.</w:t>
      </w:r>
    </w:p>
    <w:p>
      <w:pPr>
        <w:pStyle w:val="BodyText"/>
      </w:pPr>
      <w:r>
        <w:t xml:space="preserve">Duvel, J.P., 1990.</w:t>
      </w:r>
      <w:r>
        <w:t xml:space="preserve"> </w:t>
      </w:r>
      <w:r>
        <w:t xml:space="preserve">Convection over tropical Africa and the Atlantic Ocean during northern summer. Part II: Modulation by easterly waves</w:t>
      </w:r>
      <w:r>
        <w:t xml:space="preserve">. Monthly Weather Review 118, 1855–1868.</w:t>
      </w:r>
    </w:p>
    <w:p>
      <w:pPr>
        <w:pStyle w:val="BodyText"/>
      </w:pPr>
      <w:r>
        <w:t xml:space="preserve">Gebremicael, T.G., Mohamed, Y.A., Zaag, P.van der, Gebremedhin, A., Gebremeskel, G., Yazew, E., Kifle, M., 2019.</w:t>
      </w:r>
      <w:r>
        <w:t xml:space="preserve"> </w:t>
      </w:r>
      <w:r>
        <w:t xml:space="preserve">Evaluation of multiple satellite rainfall products over the rugged topography of the Tekeze-Atbara basin in Ethiopia</w:t>
      </w:r>
      <w:r>
        <w:t xml:space="preserve">. International Journal of Remote Sensing 40, 4326–4345.</w:t>
      </w:r>
    </w:p>
    <w:p>
      <w:pPr>
        <w:pStyle w:val="BodyText"/>
      </w:pPr>
      <w:r>
        <w:t xml:space="preserve">Geerts, B., Wheeler, M., 1998.</w:t>
      </w:r>
      <w:r>
        <w:t xml:space="preserve"> </w:t>
      </w:r>
      <w:r>
        <w:t xml:space="preserve">The Madden-Julian oscillation</w:t>
      </w:r>
      <w:r>
        <w:t xml:space="preserve">. Naval Maritime Forecast Center/Joint Typhoon Warning Center (NMFC/JTWC), Pearl Harbor.</w:t>
      </w:r>
    </w:p>
    <w:p>
      <w:pPr>
        <w:pStyle w:val="BodyText"/>
      </w:pPr>
      <w:r>
        <w:t xml:space="preserve">Gill, A.E., 1980.</w:t>
      </w:r>
      <w:r>
        <w:t xml:space="preserve"> </w:t>
      </w:r>
      <w:r>
        <w:t xml:space="preserve">Some simple solutions for heat-induced tropical circulation</w:t>
      </w:r>
      <w:r>
        <w:t xml:space="preserve">. Quarterly Journal of the Royal Meteorological Society 106, 447–462.</w:t>
      </w:r>
    </w:p>
    <w:p>
      <w:pPr>
        <w:pStyle w:val="BodyText"/>
      </w:pPr>
      <w:r>
        <w:t xml:space="preserve">Graham, R., Visman, E., Wade, S., Amato, R., Bain, C., Janes, T., Leathes, B., Lumbroso, D., Cornforth, R., Boyd, E., others, 2015.</w:t>
      </w:r>
      <w:r>
        <w:t xml:space="preserve"> </w:t>
      </w:r>
      <w:r>
        <w:t xml:space="preserve">Scoping, options analysis and design of a ‘Climate Information and Services Programme’for Africa (CIASA): literature review</w:t>
      </w:r>
      <w:r>
        <w:t xml:space="preserve">.</w:t>
      </w:r>
    </w:p>
    <w:p>
      <w:pPr>
        <w:pStyle w:val="BodyText"/>
      </w:pPr>
      <w:r>
        <w:t xml:space="preserve">Huffman, G.J., Adler, R.F., Morrissey, M.M., Bolvin, D.T., Curtis, S., Joyce, R., McGavock, B., Susskind, J., 2001.</w:t>
      </w:r>
      <w:r>
        <w:t xml:space="preserve"> </w:t>
      </w:r>
      <w:r>
        <w:t xml:space="preserve">Global precipitation at one-degree daily resolution from multisatellite observations</w:t>
      </w:r>
      <w:r>
        <w:t xml:space="preserve">. Journal of hydrometeorology 2, 36–50.</w:t>
      </w:r>
    </w:p>
    <w:p>
      <w:pPr>
        <w:pStyle w:val="BodyText"/>
      </w:pPr>
      <w:r>
        <w:t xml:space="preserve">Indeje, M., Semazzi, F.H.M., Ogallo, L.J., 2000.</w:t>
      </w:r>
      <w:r>
        <w:t xml:space="preserve"> </w:t>
      </w:r>
      <w:r>
        <w:t xml:space="preserve">ENSO signals in East African rainfall seasons</w:t>
      </w:r>
      <w:r>
        <w:t xml:space="preserve">. International Journal of Climatology: A Journal of the Royal Meteorological Society 20, 19–46.</w:t>
      </w:r>
    </w:p>
    <w:p>
      <w:pPr>
        <w:pStyle w:val="BodyText"/>
      </w:pPr>
      <w:r>
        <w:t xml:space="preserve">Janicot, S., Mounier, F., Hall, N.M.J., Leroux, S., Sultan, B., Kiladis, G.N., 2009.</w:t>
      </w:r>
      <w:r>
        <w:t xml:space="preserve"> </w:t>
      </w:r>
      <w:r>
        <w:t xml:space="preserve">Dynamics of the West African monsoon. Part IV: Analysis of 25–90-day variability of convection and the role of the Indian monsoon</w:t>
      </w:r>
      <w:r>
        <w:t xml:space="preserve">. Journal of Climate 22, 1541–1565.</w:t>
      </w:r>
    </w:p>
    <w:p>
      <w:pPr>
        <w:pStyle w:val="BodyText"/>
      </w:pPr>
      <w:r>
        <w:t xml:space="preserve">Kiladis, G.N., Wheeler, M.C., Haertel, P.T., Straub, K.H., Roundy, P.E., 2009.</w:t>
      </w:r>
      <w:r>
        <w:t xml:space="preserve"> </w:t>
      </w:r>
      <w:r>
        <w:t xml:space="preserve">Convectively coupled equatorial waves</w:t>
      </w:r>
      <w:r>
        <w:t xml:space="preserve">. Reviews of Geophysics 47.</w:t>
      </w:r>
    </w:p>
    <w:p>
      <w:pPr>
        <w:pStyle w:val="BodyText"/>
      </w:pPr>
      <w:r>
        <w:t xml:space="preserve">Liebmann, B., Kiladis, G.N., Carvalho, L.M.V., Jones, C., Vera, C.S., Blad</w:t>
      </w:r>
      <w:r>
        <w:t xml:space="preserve">é</w:t>
      </w:r>
      <w:r>
        <w:t xml:space="preserve">, I., Allured, D., 2009.</w:t>
      </w:r>
      <w:r>
        <w:t xml:space="preserve"> </w:t>
      </w:r>
      <w:r>
        <w:t xml:space="preserve">Origin of convectively coupled Kelvin waves over South America</w:t>
      </w:r>
      <w:r>
        <w:t xml:space="preserve">. Journal of Climate 22, 300–315.</w:t>
      </w:r>
    </w:p>
    <w:p>
      <w:pPr>
        <w:pStyle w:val="BodyText"/>
      </w:pPr>
      <w:r>
        <w:t xml:space="preserve">Lindzen, R.S., 2003.</w:t>
      </w:r>
      <w:r>
        <w:t xml:space="preserve"> </w:t>
      </w:r>
      <w:r>
        <w:t xml:space="preserve">The interaction of waves and convection in the tropics</w:t>
      </w:r>
      <w:r>
        <w:t xml:space="preserve">. Journal of the atmospheric sciences 60, 3009–3020.</w:t>
      </w:r>
    </w:p>
    <w:p>
      <w:pPr>
        <w:pStyle w:val="BodyText"/>
      </w:pPr>
      <w:r>
        <w:t xml:space="preserve">Matsuno, T., 1966.</w:t>
      </w:r>
      <w:r>
        <w:t xml:space="preserve"> </w:t>
      </w:r>
      <w:r>
        <w:t xml:space="preserve">Quasi-geostrophic motions in the equatorial area</w:t>
      </w:r>
      <w:r>
        <w:t xml:space="preserve">. Journal of the Meteorological Society of Japan. Ser. II 44, 25–43.</w:t>
      </w:r>
    </w:p>
    <w:p>
      <w:pPr>
        <w:pStyle w:val="BodyText"/>
      </w:pPr>
      <w:r>
        <w:t xml:space="preserve">Mekonnen, A., Thorncroft, C.D., 2016.</w:t>
      </w:r>
      <w:r>
        <w:t xml:space="preserve"> </w:t>
      </w:r>
      <w:r>
        <w:t xml:space="preserve">On mechanisms that determine synoptic time scale convection over East Africa</w:t>
      </w:r>
      <w:r>
        <w:t xml:space="preserve">. International Journal of Climatology 36, 4045–4057.</w:t>
      </w:r>
    </w:p>
    <w:p>
      <w:pPr>
        <w:pStyle w:val="BodyText"/>
      </w:pPr>
      <w:r>
        <w:t xml:space="preserve">Mekonnen, A., Thorncroft, C.D., Aiyyer, A.R., Kiladis, G.N., 2008.</w:t>
      </w:r>
      <w:r>
        <w:t xml:space="preserve"> </w:t>
      </w:r>
      <w:r>
        <w:t xml:space="preserve">Convectively coupled Kelvin waves over tropical Africa during the boreal summer: Structure and variability</w:t>
      </w:r>
      <w:r>
        <w:t xml:space="preserve">. Journal of Climate 21, 6649–6667.</w:t>
      </w:r>
    </w:p>
    <w:p>
      <w:pPr>
        <w:pStyle w:val="BodyText"/>
      </w:pPr>
      <w:r>
        <w:t xml:space="preserve">Mounier, F., Kiladis, G.N., Janicot, S., 2006.</w:t>
      </w:r>
      <w:r>
        <w:t xml:space="preserve"> </w:t>
      </w:r>
      <w:r>
        <w:t xml:space="preserve">West african monsoon dynamics: evidence of convectively coupled Kelvin waves</w:t>
      </w:r>
      <w:r>
        <w:t xml:space="preserve">.</w:t>
      </w:r>
    </w:p>
    <w:p>
      <w:pPr>
        <w:pStyle w:val="BodyText"/>
      </w:pPr>
      <w:r>
        <w:t xml:space="preserve">Nguyen, H., Duvel, J.-P., 2008.</w:t>
      </w:r>
      <w:r>
        <w:t xml:space="preserve"> </w:t>
      </w:r>
      <w:r>
        <w:t xml:space="preserve">Synoptic wave perturbations and convective systems over equatorial Africa</w:t>
      </w:r>
      <w:r>
        <w:t xml:space="preserve">. Journal of Climate 21, 6372–6388.</w:t>
      </w:r>
    </w:p>
    <w:p>
      <w:pPr>
        <w:pStyle w:val="BodyText"/>
      </w:pPr>
      <w:r>
        <w:t xml:space="preserve">Nicholson, S.E., 2011.</w:t>
      </w:r>
      <w:r>
        <w:t xml:space="preserve"> </w:t>
      </w:r>
      <w:r>
        <w:t xml:space="preserve">Dryland climatology</w:t>
      </w:r>
      <w:r>
        <w:t xml:space="preserve">. Cambridge University Press.</w:t>
      </w:r>
    </w:p>
    <w:p>
      <w:pPr>
        <w:pStyle w:val="BodyText"/>
      </w:pPr>
      <w:r>
        <w:t xml:space="preserve">Ongoma, V., Chen, H., Omony, G.W., 2018.</w:t>
      </w:r>
      <w:r>
        <w:t xml:space="preserve"> </w:t>
      </w:r>
      <w:r>
        <w:t xml:space="preserve">Variability of extreme weather events over the equatorial East Africa, a case study of rainfall in Kenya and Uganda</w:t>
      </w:r>
      <w:r>
        <w:t xml:space="preserve">. Theoretical and applied climatology 131, 295–308.</w:t>
      </w:r>
    </w:p>
    <w:p>
      <w:pPr>
        <w:pStyle w:val="BodyText"/>
      </w:pPr>
      <w:r>
        <w:t xml:space="preserve">Pohl, B., Camberlin, P., 2006.</w:t>
      </w:r>
      <w:r>
        <w:t xml:space="preserve"> </w:t>
      </w:r>
      <w:r>
        <w:t xml:space="preserve">Influence of the Madden–Julian oscillation on East African rainfall: II. March–May season extremes and interannual variability</w:t>
      </w:r>
      <w:r>
        <w:t xml:space="preserve">. Quarterly Journal of the Royal Meteorological Society: A journal of the atmospheric sciences, applied meteorology and physical oceanography 132, 2541–2558.</w:t>
      </w:r>
    </w:p>
    <w:p>
      <w:pPr>
        <w:pStyle w:val="BodyText"/>
      </w:pPr>
      <w:r>
        <w:t xml:space="preserve">Reed, R.J., Norquist, D.C., Recker, E.E., 1977.</w:t>
      </w:r>
      <w:r>
        <w:t xml:space="preserve"> </w:t>
      </w:r>
      <w:r>
        <w:t xml:space="preserve">The structure and properties of African wave disturbances as observed during Phase III of GATE</w:t>
      </w:r>
      <w:r>
        <w:t xml:space="preserve">. Monthly Weather Review 105, 317–333.</w:t>
      </w:r>
    </w:p>
    <w:p>
      <w:pPr>
        <w:pStyle w:val="BodyText"/>
      </w:pPr>
      <w:r>
        <w:t xml:space="preserve">Roundy, P.E., 2008.</w:t>
      </w:r>
      <w:r>
        <w:t xml:space="preserve"> </w:t>
      </w:r>
      <w:r>
        <w:t xml:space="preserve">Analysis of convectively coupled Kelvin waves in the Indian Ocean MJO</w:t>
      </w:r>
      <w:r>
        <w:t xml:space="preserve">. Journal of the Atmospheric Sciences 65, 1342–1359.</w:t>
      </w:r>
    </w:p>
    <w:p>
      <w:pPr>
        <w:pStyle w:val="BodyText"/>
      </w:pPr>
      <w:r>
        <w:t xml:space="preserve">Schlueter, A., Fink, A.H., Knippertz, P., Vogel, P., 2019.</w:t>
      </w:r>
      <w:r>
        <w:t xml:space="preserve"> </w:t>
      </w:r>
      <w:r>
        <w:t xml:space="preserve">A systematic comparison of tropical waves over northern Africa. Part I: Influence on rainfall</w:t>
      </w:r>
      <w:r>
        <w:t xml:space="preserve">. Journal of Climate 32, 1501–1523.</w:t>
      </w:r>
    </w:p>
    <w:p>
      <w:pPr>
        <w:pStyle w:val="BodyText"/>
      </w:pPr>
      <w:r>
        <w:t xml:space="preserve">Sinclaire, Z., Lenouo, A., Tchawoua, C., Janicot, S., 2015.</w:t>
      </w:r>
      <w:r>
        <w:t xml:space="preserve"> </w:t>
      </w:r>
      <w:r>
        <w:t xml:space="preserve">Synoptic Kelvin type perturbation waves over Congo basin over the period 1979–2010</w:t>
      </w:r>
      <w:r>
        <w:t xml:space="preserve">. Journal of Atmospheric and Solar-Terrestrial Physics 130, 43–56.</w:t>
      </w:r>
    </w:p>
    <w:p>
      <w:pPr>
        <w:pStyle w:val="BodyText"/>
      </w:pPr>
      <w:r>
        <w:t xml:space="preserve">Smith, I., 2004.</w:t>
      </w:r>
      <w:r>
        <w:t xml:space="preserve"> </w:t>
      </w:r>
      <w:r>
        <w:t xml:space="preserve">An assessment of recent trends in Australian rainfall</w:t>
      </w:r>
      <w:r>
        <w:t xml:space="preserve">. Australian Meteorological Magazine 53, 163–173.</w:t>
      </w:r>
    </w:p>
    <w:p>
      <w:pPr>
        <w:pStyle w:val="BodyText"/>
      </w:pPr>
      <w:r>
        <w:t xml:space="preserve">Stephan, C.C., Klingaman, N.P., Vidale, P.L., Turner, A.G., Demory, M.-E., Guo, L., 2017.</w:t>
      </w:r>
      <w:r>
        <w:t xml:space="preserve"> </w:t>
      </w:r>
      <w:r>
        <w:t xml:space="preserve">A comprehensive analysis of coherent rainfall patterns in China and potential drivers. Part I: Interannual variability</w:t>
      </w:r>
      <w:r>
        <w:t xml:space="preserve">. Climate Dynamics 1–20.</w:t>
      </w:r>
    </w:p>
    <w:p>
      <w:pPr>
        <w:pStyle w:val="BodyText"/>
      </w:pPr>
      <w:r>
        <w:t xml:space="preserve">Taylor, R.G., Favreau, G., Scanlon, B.R., Villholth, K.G., 2019.</w:t>
      </w:r>
      <w:r>
        <w:t xml:space="preserve"> </w:t>
      </w:r>
      <w:r>
        <w:t xml:space="preserve">Topical Collection: Determining groundwater sustainability from long-term piezometry in Sub-Saharan Africa</w:t>
      </w:r>
      <w:r>
        <w:t xml:space="preserve">. Hydrogeology Journal 27, 443–446.</w:t>
      </w:r>
    </w:p>
    <w:p>
      <w:pPr>
        <w:pStyle w:val="BodyText"/>
      </w:pPr>
      <w:r>
        <w:t xml:space="preserve">Van den Dool, H.M., Saha, S., Johansson,</w:t>
      </w:r>
      <w:r>
        <w:t xml:space="preserve"> </w:t>
      </w:r>
      <w:r>
        <w:t xml:space="preserve">.A., 2000.</w:t>
      </w:r>
      <w:r>
        <w:t xml:space="preserve"> </w:t>
      </w:r>
      <w:r>
        <w:t xml:space="preserve">Empirical orthogonal teleconnections</w:t>
      </w:r>
      <w:r>
        <w:t xml:space="preserve">. Journal of Climate 13, 1421–1435</w:t>
      </w:r>
      <w:r>
        <w:t xml:space="preserve">.</w:t>
      </w:r>
    </w:p>
    <w:p>
      <w:pPr>
        <w:pStyle w:val="BodyText"/>
      </w:pPr>
      <w:r>
        <w:t xml:space="preserve">Ventrice, M.J., Thorncroft, C.D., Janiga, M.A., 2012.</w:t>
      </w:r>
      <w:r>
        <w:t xml:space="preserve"> </w:t>
      </w:r>
      <w:r>
        <w:t xml:space="preserve">Atlantic tropical cyclogenesis: A three-way interaction between an African easterly wave, diurnally varying convection, and a convectively coupled atmospheric Kelvin wave</w:t>
      </w:r>
      <w:r>
        <w:t xml:space="preserve">. Monthly Weather Review 140, 1108–1124.</w:t>
      </w:r>
    </w:p>
    <w:p>
      <w:pPr>
        <w:pStyle w:val="BodyText"/>
      </w:pPr>
      <w:r>
        <w:t xml:space="preserve">Wheeler, M., Kiladis, G.N., 1999.</w:t>
      </w:r>
      <w:r>
        <w:t xml:space="preserve"> </w:t>
      </w:r>
      <w:r>
        <w:t xml:space="preserve">Convectively coupled equatorial waves: Analysis of clouds and temperature in the wavenumber–frequency domain</w:t>
      </w:r>
      <w:r>
        <w:t xml:space="preserve">. Journal of the Atmospheric Sciences 56, 374–399.</w:t>
      </w:r>
    </w:p>
    <w:p>
      <w:pPr>
        <w:pStyle w:val="BodyText"/>
      </w:pPr>
      <w:r>
        <w:t xml:space="preserve">Wheeler, M.C., Hendon, H.H., 2004.</w:t>
      </w:r>
      <w:r>
        <w:t xml:space="preserve"> </w:t>
      </w:r>
      <w:r>
        <w:t xml:space="preserve">An all-season real-time multivariate MJO index: Development of an index for monitoring and prediction</w:t>
      </w:r>
      <w:r>
        <w:t xml:space="preserve">. Monthly Weather Review 132, 1917–1932.</w:t>
      </w:r>
    </w:p>
    <w:p>
      <w:pPr>
        <w:pStyle w:val="BodyText"/>
      </w:pPr>
      <w:r>
        <w:t xml:space="preserve">Yang, G.-Y., Hoskins, B., Slingo, J., 2003.</w:t>
      </w:r>
      <w:r>
        <w:t xml:space="preserve"> </w:t>
      </w:r>
      <w:r>
        <w:t xml:space="preserve">Convectively coupled equatorial waves: A new methodology for identifying wave structures in observational data</w:t>
      </w:r>
      <w:r>
        <w:t xml:space="preserve">. Journal of the atmospheric sciences 60, 1637–1654.</w:t>
      </w:r>
    </w:p>
    <w:p>
      <w:pPr>
        <w:pStyle w:val="BodyText"/>
      </w:pPr>
      <w:r>
        <w:t xml:space="preserve">Yang, G.-Y., Methven, J., Woolnough, S., Hodges, K., Hoskins, B., 2018.</w:t>
      </w:r>
      <w:r>
        <w:t xml:space="preserve"> </w:t>
      </w:r>
      <w:r>
        <w:t xml:space="preserve">Linking African easterly wave activity with equatorial waves and the influence of Rossby waves from the Southern Hemisphere</w:t>
      </w:r>
      <w:r>
        <w:t xml:space="preserve">. Journal of the Atmospheric Sciences 75, 1783–1809.</w:t>
      </w:r>
    </w:p>
    <w:p>
      <w:pPr>
        <w:pStyle w:val="BodyText"/>
      </w:pPr>
      <w:r>
        <w:t xml:space="preserve">Zaitchik, B.F., 2017.</w:t>
      </w:r>
      <w:r>
        <w:t xml:space="preserve"> </w:t>
      </w:r>
      <w:r>
        <w:t xml:space="preserve">Madden-Julian Oscillation impacts on tropical African precipitation</w:t>
      </w:r>
      <w:r>
        <w:t xml:space="preserve">. Atmospheric Research 184, 88–102.</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3150a6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0" Target="media/rId40.png" /><Relationship Type="http://schemas.openxmlformats.org/officeDocument/2006/relationships/image" Id="rId42" Target="media/rId42.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4" Target="media/rId54.png" /><Relationship Type="http://schemas.openxmlformats.org/officeDocument/2006/relationships/image" Id="rId59" Target="media/rId59.pn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52" Target="media/rId52.png" /><Relationship Type="http://schemas.openxmlformats.org/officeDocument/2006/relationships/image" Id="rId53" Target="media/rId53.png" /><Relationship Type="http://schemas.openxmlformats.org/officeDocument/2006/relationships/hyperlink" Id="rId29" Target="https://www.authorea.com/users/268988/articles/380130-the-observed-synoptic-scale-precipitation-relationship-between-western-equatorial-africa-and-eastern-equatorial-africa#dinku2007validation" TargetMode="External" /><Relationship Type="http://schemas.openxmlformats.org/officeDocument/2006/relationships/hyperlink" Id="rId28" Target="https://www.authorea.com/users/268988/articles/380130-the-observed-synoptic-scale-precipitation-relationship-between-western-equatorial-africa-and-eastern-equatorial-africa#huffman2001global" TargetMode="External" /><Relationship Type="http://schemas.openxmlformats.org/officeDocument/2006/relationships/hyperlink" Id="rId26" Target="https://www.authorea.com/users/268988/articles/380130-the-observed-synoptic-scale-precipitation-relationship-between-western-equatorial-africa-and-eastern-equatorial-africa#huffman2007trmm" TargetMode="External" /><Relationship Type="http://schemas.openxmlformats.org/officeDocument/2006/relationships/hyperlink" Id="rId45" Target="https://www.authorea.com/users/268988/articles/380130-the-observed-synoptic-scale-precipitation-relationship-between-western-equatorial-africa-and-eastern-equatorial-africa#kiladis2009convectively" TargetMode="External" /><Relationship Type="http://schemas.openxmlformats.org/officeDocument/2006/relationships/hyperlink" Id="rId46" Target="https://www.authorea.com/users/268988/articles/380130-the-observed-synoptic-scale-precipitation-relationship-between-western-equatorial-africa-and-eastern-equatorial-africa#mekonnen2008convectively" TargetMode="External" /><Relationship Type="http://schemas.openxmlformats.org/officeDocument/2006/relationships/hyperlink" Id="rId23" Target="https://www.authorea.com/users/268988/articles/380130-the-observed-synoptic-scale-precipitation-relationship-between-western-equatorial-africa-and-eastern-equatorial-africa#mekonnen2016mechanisms" TargetMode="External" /><Relationship Type="http://schemas.openxmlformats.org/officeDocument/2006/relationships/hyperlink" Id="rId56" Target="https://www.authorea.com/users/268988/articles/380130-the-observed-synoptic-scale-precipitation-relationship-between-western-equatorial-africa-and-eastern-equatorial-africa#nicholson2011dryland" TargetMode="External" /><Relationship Type="http://schemas.openxmlformats.org/officeDocument/2006/relationships/hyperlink" Id="rId35" Target="https://www.authorea.com/users/268988/articles/380130-the-observed-synoptic-scale-precipitation-relationship-between-western-equatorial-africa-and-eastern-equatorial-africa#pohl2006influence" TargetMode="External" /><Relationship Type="http://schemas.openxmlformats.org/officeDocument/2006/relationships/hyperlink" Id="rId22" Target="https://www.authorea.com/users/268988/articles/380130-the-observed-synoptic-scale-precipitation-relationship-between-western-equatorial-africa-and-eastern-equatorial-africa#sinclaire2015synoptic" TargetMode="External" /><Relationship Type="http://schemas.openxmlformats.org/officeDocument/2006/relationships/hyperlink" Id="rId36" Target="https://www.authorea.com/users/268988/articles/380130-the-observed-synoptic-scale-precipitation-relationship-between-western-equatorial-africa-and-eastern-equatorial-africa#smith2004assessment" TargetMode="External" /><Relationship Type="http://schemas.openxmlformats.org/officeDocument/2006/relationships/hyperlink" Id="rId32" Target="https://www.authorea.com/users/268988/articles/380130-the-observed-synoptic-scale-precipitation-relationship-between-western-equatorial-africa-and-eastern-equatorial-africa#yang2003convectively" TargetMode="External" /><Relationship Type="http://schemas.openxmlformats.org/officeDocument/2006/relationships/hyperlink" Id="rId57" Target="https://www.authorea.com/users/268988/articles/380130-the-observed-synoptic-scale-precipitation-relationship-between-western-equatorial-africa-and-eastern-equatorial-africa#zipser2006most" TargetMode="External" /></Relationships>
</file>

<file path=word/_rels/footnotes.xml.rels><?xml version="1.0" encoding="UTF-8"?>
<Relationships xmlns="http://schemas.openxmlformats.org/package/2006/relationships"><Relationship Type="http://schemas.openxmlformats.org/officeDocument/2006/relationships/hyperlink" Id="rId29" Target="https://www.authorea.com/users/268988/articles/380130-the-observed-synoptic-scale-precipitation-relationship-between-western-equatorial-africa-and-eastern-equatorial-africa#dinku2007validation" TargetMode="External" /><Relationship Type="http://schemas.openxmlformats.org/officeDocument/2006/relationships/hyperlink" Id="rId28" Target="https://www.authorea.com/users/268988/articles/380130-the-observed-synoptic-scale-precipitation-relationship-between-western-equatorial-africa-and-eastern-equatorial-africa#huffman2001global" TargetMode="External" /><Relationship Type="http://schemas.openxmlformats.org/officeDocument/2006/relationships/hyperlink" Id="rId26" Target="https://www.authorea.com/users/268988/articles/380130-the-observed-synoptic-scale-precipitation-relationship-between-western-equatorial-africa-and-eastern-equatorial-africa#huffman2007trmm" TargetMode="External" /><Relationship Type="http://schemas.openxmlformats.org/officeDocument/2006/relationships/hyperlink" Id="rId45" Target="https://www.authorea.com/users/268988/articles/380130-the-observed-synoptic-scale-precipitation-relationship-between-western-equatorial-africa-and-eastern-equatorial-africa#kiladis2009convectively" TargetMode="External" /><Relationship Type="http://schemas.openxmlformats.org/officeDocument/2006/relationships/hyperlink" Id="rId46" Target="https://www.authorea.com/users/268988/articles/380130-the-observed-synoptic-scale-precipitation-relationship-between-western-equatorial-africa-and-eastern-equatorial-africa#mekonnen2008convectively" TargetMode="External" /><Relationship Type="http://schemas.openxmlformats.org/officeDocument/2006/relationships/hyperlink" Id="rId23" Target="https://www.authorea.com/users/268988/articles/380130-the-observed-synoptic-scale-precipitation-relationship-between-western-equatorial-africa-and-eastern-equatorial-africa#mekonnen2016mechanisms" TargetMode="External" /><Relationship Type="http://schemas.openxmlformats.org/officeDocument/2006/relationships/hyperlink" Id="rId56" Target="https://www.authorea.com/users/268988/articles/380130-the-observed-synoptic-scale-precipitation-relationship-between-western-equatorial-africa-and-eastern-equatorial-africa#nicholson2011dryland" TargetMode="External" /><Relationship Type="http://schemas.openxmlformats.org/officeDocument/2006/relationships/hyperlink" Id="rId35" Target="https://www.authorea.com/users/268988/articles/380130-the-observed-synoptic-scale-precipitation-relationship-between-western-equatorial-africa-and-eastern-equatorial-africa#pohl2006influence" TargetMode="External" /><Relationship Type="http://schemas.openxmlformats.org/officeDocument/2006/relationships/hyperlink" Id="rId22" Target="https://www.authorea.com/users/268988/articles/380130-the-observed-synoptic-scale-precipitation-relationship-between-western-equatorial-africa-and-eastern-equatorial-africa#sinclaire2015synoptic" TargetMode="External" /><Relationship Type="http://schemas.openxmlformats.org/officeDocument/2006/relationships/hyperlink" Id="rId36" Target="https://www.authorea.com/users/268988/articles/380130-the-observed-synoptic-scale-precipitation-relationship-between-western-equatorial-africa-and-eastern-equatorial-africa#smith2004assessment" TargetMode="External" /><Relationship Type="http://schemas.openxmlformats.org/officeDocument/2006/relationships/hyperlink" Id="rId32" Target="https://www.authorea.com/users/268988/articles/380130-the-observed-synoptic-scale-precipitation-relationship-between-western-equatorial-africa-and-eastern-equatorial-africa#yang2003convectively" TargetMode="External" /><Relationship Type="http://schemas.openxmlformats.org/officeDocument/2006/relationships/hyperlink" Id="rId57" Target="https://www.authorea.com/users/268988/articles/380130-the-observed-synoptic-scale-precipitation-relationship-between-western-equatorial-africa-and-eastern-equatorial-africa#zipser2006mos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Observed Synoptic scale precipitation relationship between Western Equatorial Africa and Eastern Equatorial Africa</dc:title>
  <dc:creator>Godwin Ayesiga; Christopher E. Holloway; Charles JR. Williams; Gui-Ying Yang; Samantha Ferrett</dc:creator>
  <dcterms:created xsi:type="dcterms:W3CDTF">2019-09-19T06:51:41Z</dcterms:created>
  <dcterms:modified xsi:type="dcterms:W3CDTF">2019-09-19T06:51:41Z</dcterms:modified>
</cp:coreProperties>
</file>