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4.png" ContentType="image/png"/>
  <Override PartName="/word/media/rId27.png" ContentType="image/png"/>
  <Override PartName="/word/media/rId29.png" ContentType="image/png"/>
  <Override PartName="/word/media/rId30.png" ContentType="image/png"/>
  <Override PartName="/word/media/rId32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Kinetic</w:t>
      </w:r>
      <w:r>
        <w:t xml:space="preserve"> </w:t>
      </w:r>
      <w:r>
        <w:t xml:space="preserve">stability</w:t>
      </w:r>
      <w:r>
        <w:t xml:space="preserve"> </w:t>
      </w:r>
      <w:r>
        <w:t xml:space="preserve">and</w:t>
      </w:r>
      <w:r>
        <w:t xml:space="preserve"> </w:t>
      </w:r>
      <w:r>
        <w:t xml:space="preserve">reactivity</w:t>
      </w:r>
      <w:r>
        <w:t xml:space="preserve"> </w:t>
      </w:r>
      <w:r>
        <w:t xml:space="preserve">of</w:t>
      </w:r>
      <w:r>
        <w:t xml:space="preserve"> </w:t>
      </w:r>
      <w:r>
        <w:t xml:space="preserve">silicon</w:t>
      </w:r>
      <w:r>
        <w:t xml:space="preserve"> </w:t>
      </w:r>
      <w:r>
        <w:t xml:space="preserve">and</w:t>
      </w:r>
      <w:r>
        <w:t xml:space="preserve"> </w:t>
      </w:r>
      <w:r>
        <w:t xml:space="preserve">fluorine-containing</w:t>
      </w:r>
      <w:r>
        <w:t xml:space="preserve"> </w:t>
      </w:r>
      <w:r>
        <w:t xml:space="preserve">CL-20</w:t>
      </w:r>
      <w:r>
        <w:t xml:space="preserve"> </w:t>
      </w:r>
      <w:r>
        <w:t xml:space="preserve">derivatives</w:t>
      </w:r>
    </w:p>
    <w:p>
      <w:pPr>
        <w:pStyle w:val="Author"/>
      </w:pPr>
      <w:r>
        <w:t xml:space="preserve">Konstantin</w:t>
      </w:r>
      <w:r>
        <w:t xml:space="preserve"> </w:t>
      </w:r>
      <w:r>
        <w:t xml:space="preserve">P.</w:t>
      </w:r>
      <w:r>
        <w:t xml:space="preserve"> </w:t>
      </w:r>
      <w:r>
        <w:t xml:space="preserve">Katin</w:t>
      </w:r>
    </w:p>
    <w:p>
      <w:pPr>
        <w:pStyle w:val="Author"/>
      </w:pPr>
      <w:r>
        <w:t xml:space="preserve">Masoud</w:t>
      </w:r>
      <w:r>
        <w:t xml:space="preserve"> </w:t>
      </w:r>
      <w:r>
        <w:t xml:space="preserve">Bezi</w:t>
      </w:r>
      <w:r>
        <w:t xml:space="preserve"> </w:t>
      </w:r>
      <w:r>
        <w:t xml:space="preserve">Javan</w:t>
      </w:r>
    </w:p>
    <w:p>
      <w:pPr>
        <w:pStyle w:val="Author"/>
      </w:pPr>
      <w:r>
        <w:t xml:space="preserve">Alexey</w:t>
      </w:r>
      <w:r>
        <w:t xml:space="preserve"> </w:t>
      </w:r>
      <w:r>
        <w:t xml:space="preserve">I.</w:t>
      </w:r>
      <w:r>
        <w:t xml:space="preserve"> </w:t>
      </w:r>
      <w:r>
        <w:t xml:space="preserve">Kochaev</w:t>
      </w:r>
    </w:p>
    <w:p>
      <w:pPr>
        <w:pStyle w:val="Author"/>
      </w:pPr>
      <w:r>
        <w:t xml:space="preserve">Alireza</w:t>
      </w:r>
      <w:r>
        <w:t xml:space="preserve"> </w:t>
      </w:r>
      <w:r>
        <w:t xml:space="preserve">Soltani</w:t>
      </w:r>
    </w:p>
    <w:p>
      <w:pPr>
        <w:pStyle w:val="Author"/>
      </w:pPr>
      <w:r>
        <w:t xml:space="preserve">Mikhail</w:t>
      </w:r>
      <w:r>
        <w:t xml:space="preserve"> </w:t>
      </w:r>
      <w:r>
        <w:t xml:space="preserve">M.</w:t>
      </w:r>
      <w:r>
        <w:t xml:space="preserve"> </w:t>
      </w:r>
      <w:r>
        <w:t xml:space="preserve">Maslov</w:t>
      </w:r>
    </w:p>
    <w:p>
      <w:pPr>
        <w:pStyle w:val="Abstract"/>
      </w:pPr>
      <w:r>
        <w:t xml:space="preserve">CL-20</w:t>
      </w:r>
      <w:r>
        <w:t xml:space="preserve"> </w:t>
      </w:r>
      <w:r>
        <w:t xml:space="preserve">based</w:t>
      </w:r>
      <w:r>
        <w:t xml:space="preserve"> </w:t>
      </w:r>
      <w:r>
        <w:t xml:space="preserve">cages</w:t>
      </w:r>
      <w:r>
        <w:t xml:space="preserve"> </w:t>
      </w:r>
      <w:r>
        <w:t xml:space="preserve">in</w:t>
      </w:r>
      <w:r>
        <w:t xml:space="preserve"> </w:t>
      </w:r>
      <w:r>
        <w:t xml:space="preserve">which</w:t>
      </w:r>
      <w:r>
        <w:t xml:space="preserve"> </w:t>
      </w:r>
      <w:r>
        <w:t xml:space="preserve">carbon/oxygen</w:t>
      </w:r>
      <w:r>
        <w:t xml:space="preserve"> </w:t>
      </w:r>
      <w:r>
        <w:t xml:space="preserve">atoms</w:t>
      </w:r>
      <w:r>
        <w:t xml:space="preserve"> </w:t>
      </w:r>
      <w:r>
        <w:t xml:space="preserve">are</w:t>
      </w:r>
      <w:r>
        <w:t xml:space="preserve"> </w:t>
      </w:r>
      <w:r>
        <w:t xml:space="preserve">replaced</w:t>
      </w:r>
      <w:r>
        <w:t xml:space="preserve"> </w:t>
      </w:r>
      <w:r>
        <w:t xml:space="preserve">by</w:t>
      </w:r>
      <w:r>
        <w:t xml:space="preserve"> </w:t>
      </w:r>
      <w:r>
        <w:t xml:space="preserve">silicon/fluorine</w:t>
      </w:r>
      <w:r>
        <w:t xml:space="preserve"> </w:t>
      </w:r>
      <w:r>
        <w:t xml:space="preserve">ones</w:t>
      </w:r>
      <w:r>
        <w:t xml:space="preserve"> </w:t>
      </w:r>
      <w:r>
        <w:t xml:space="preserve">are</w:t>
      </w:r>
      <w:r>
        <w:t xml:space="preserve"> </w:t>
      </w:r>
      <w:r>
        <w:t xml:space="preserve">studied</w:t>
      </w:r>
      <w:r>
        <w:t xml:space="preserve"> </w:t>
      </w:r>
      <w:r>
        <w:t xml:space="preserve">using</w:t>
      </w:r>
      <w:r>
        <w:t xml:space="preserve"> </w:t>
      </w:r>
      <w:r>
        <w:t xml:space="preserve">the</w:t>
      </w:r>
      <w:r>
        <w:t xml:space="preserve"> </w:t>
      </w:r>
      <w:r>
        <w:t xml:space="preserve">ab</w:t>
      </w:r>
      <w:r>
        <w:t xml:space="preserve"> </w:t>
      </w:r>
      <w:r>
        <w:t xml:space="preserve">initio</w:t>
      </w:r>
      <w:r>
        <w:t xml:space="preserve"> </w:t>
      </w:r>
      <w:r>
        <w:t xml:space="preserve">molecular</w:t>
      </w:r>
      <w:r>
        <w:t xml:space="preserve"> </w:t>
      </w:r>
      <w:r>
        <w:t xml:space="preserve">dynamics,</w:t>
      </w:r>
      <w:r>
        <w:t xml:space="preserve"> </w:t>
      </w:r>
      <w:r>
        <w:t xml:space="preserve">density</w:t>
      </w:r>
      <w:r>
        <w:t xml:space="preserve"> </w:t>
      </w:r>
      <w:r>
        <w:t xml:space="preserve">functional</w:t>
      </w:r>
      <w:r>
        <w:t xml:space="preserve"> </w:t>
      </w:r>
      <w:r>
        <w:t xml:space="preserve">theory,</w:t>
      </w:r>
      <w:r>
        <w:t xml:space="preserve"> </w:t>
      </w:r>
      <w:r>
        <w:t xml:space="preserve">and</w:t>
      </w:r>
      <w:r>
        <w:t xml:space="preserve"> </w:t>
      </w:r>
      <w:r>
        <w:t xml:space="preserve">time-dependent</w:t>
      </w:r>
      <w:r>
        <w:t xml:space="preserve"> </w:t>
      </w:r>
      <w:r>
        <w:t xml:space="preserve">density</w:t>
      </w:r>
      <w:r>
        <w:t xml:space="preserve"> </w:t>
      </w:r>
      <w:r>
        <w:t xml:space="preserve">functional</w:t>
      </w:r>
      <w:r>
        <w:t xml:space="preserve"> </w:t>
      </w:r>
      <w:r>
        <w:t xml:space="preserve">theory.</w:t>
      </w:r>
      <w:r>
        <w:t xml:space="preserve"> </w:t>
      </w:r>
      <w:r>
        <w:t xml:space="preserve">In</w:t>
      </w:r>
      <w:r>
        <w:t xml:space="preserve"> </w:t>
      </w:r>
      <w:r>
        <w:t xml:space="preserve">contrast</w:t>
      </w:r>
      <w:r>
        <w:t xml:space="preserve"> </w:t>
      </w:r>
      <w:r>
        <w:t xml:space="preserve">to</w:t>
      </w:r>
      <w:r>
        <w:t xml:space="preserve"> </w:t>
      </w:r>
      <w:r>
        <w:t xml:space="preserve">the</w:t>
      </w:r>
      <w:r>
        <w:t xml:space="preserve"> </w:t>
      </w:r>
      <w:r>
        <w:t xml:space="preserve">pristine</w:t>
      </w:r>
      <w:r>
        <w:t xml:space="preserve"> </w:t>
      </w:r>
      <w:r>
        <w:t xml:space="preserve">CL-20,</w:t>
      </w:r>
      <w:r>
        <w:t xml:space="preserve"> </w:t>
      </w:r>
      <w:r>
        <w:t xml:space="preserve">the</w:t>
      </w:r>
      <w:r>
        <w:t xml:space="preserve"> </w:t>
      </w:r>
      <w:r>
        <w:t xml:space="preserve">first</w:t>
      </w:r>
      <w:r>
        <w:t xml:space="preserve"> </w:t>
      </w:r>
      <w:r>
        <w:t xml:space="preserve">step</w:t>
      </w:r>
      <w:r>
        <w:t xml:space="preserve"> </w:t>
      </w:r>
      <w:r>
        <w:t xml:space="preserve">of</w:t>
      </w:r>
      <w:r>
        <w:t xml:space="preserve"> </w:t>
      </w:r>
      <w:r>
        <w:t xml:space="preserve">pyrolysis</w:t>
      </w:r>
      <w:r>
        <w:t xml:space="preserve"> </w:t>
      </w:r>
      <w:r>
        <w:t xml:space="preserve">of</w:t>
      </w:r>
      <w:r>
        <w:t xml:space="preserve"> </w:t>
      </w:r>
      <w:r>
        <w:t xml:space="preserve">these</w:t>
      </w:r>
      <w:r>
        <w:t xml:space="preserve"> </w:t>
      </w:r>
      <w:r>
        <w:t xml:space="preserve">cages</w:t>
      </w:r>
      <w:r>
        <w:t xml:space="preserve"> </w:t>
      </w:r>
      <w:r>
        <w:t xml:space="preserve">is</w:t>
      </w:r>
      <w:r>
        <w:t xml:space="preserve"> </w:t>
      </w:r>
      <w:r>
        <w:t xml:space="preserve">the</w:t>
      </w:r>
      <w:r>
        <w:t xml:space="preserve"> </w:t>
      </w:r>
      <w:r>
        <w:t xml:space="preserve">migration</w:t>
      </w:r>
      <w:r>
        <w:t xml:space="preserve"> </w:t>
      </w:r>
      <w:r>
        <w:t xml:space="preserve">of</w:t>
      </w:r>
      <w:r>
        <w:t xml:space="preserve"> </w:t>
      </w:r>
      <w:r>
        <w:t xml:space="preserve">oxygen/fluorine</w:t>
      </w:r>
      <w:r>
        <w:t xml:space="preserve"> </w:t>
      </w:r>
      <w:r>
        <w:t xml:space="preserve">atoms</w:t>
      </w:r>
      <w:r>
        <w:t xml:space="preserve"> </w:t>
      </w:r>
      <w:r>
        <w:t xml:space="preserve">to</w:t>
      </w:r>
      <w:r>
        <w:t xml:space="preserve"> </w:t>
      </w:r>
      <w:r>
        <w:t xml:space="preserve">silicon.</w:t>
      </w:r>
      <w:r>
        <w:t xml:space="preserve"> </w:t>
      </w:r>
      <w:r>
        <w:t xml:space="preserve">Molecules</w:t>
      </w:r>
      <w:r>
        <w:t xml:space="preserve"> </w:t>
      </w:r>
      <w:r>
        <w:t xml:space="preserve">containing</w:t>
      </w:r>
      <w:r>
        <w:t xml:space="preserve"> </w:t>
      </w:r>
      <w:r>
        <w:t xml:space="preserve">fluorine</w:t>
      </w:r>
      <w:r>
        <w:t xml:space="preserve"> </w:t>
      </w:r>
      <w:r>
        <w:t xml:space="preserve">are</w:t>
      </w:r>
      <w:r>
        <w:t xml:space="preserve"> </w:t>
      </w:r>
      <w:r>
        <w:t xml:space="preserve">unstable</w:t>
      </w:r>
      <w:r>
        <w:t xml:space="preserve"> </w:t>
      </w:r>
      <w:r>
        <w:t xml:space="preserve">at</w:t>
      </w:r>
      <w:r>
        <w:t xml:space="preserve"> </w:t>
      </w:r>
      <w:r>
        <w:t xml:space="preserve">room</w:t>
      </w:r>
      <w:r>
        <w:t xml:space="preserve"> </w:t>
      </w:r>
      <w:r>
        <w:t xml:space="preserve">temperature.</w:t>
      </w:r>
      <w:r>
        <w:t xml:space="preserve"> </w:t>
      </w:r>
      <w:r>
        <w:t xml:space="preserve">The</w:t>
      </w:r>
      <w:r>
        <w:t xml:space="preserve"> </w:t>
      </w:r>
      <w:r>
        <w:t xml:space="preserve">high-energy</w:t>
      </w:r>
      <w:r>
        <w:t xml:space="preserve"> </w:t>
      </w:r>
      <w:r>
        <w:t xml:space="preserve">silicon-containing</w:t>
      </w:r>
      <w:r>
        <w:t xml:space="preserve"> </w:t>
      </w:r>
      <w:r>
        <w:t xml:space="preserve">molecule</w:t>
      </w:r>
      <w:r>
        <w:t xml:space="preserve"> </w:t>
      </w:r>
      <w:r>
        <w:t xml:space="preserve">(CSi</w:t>
      </w:r>
      <w:r>
        <w:rPr>
          <w:vertAlign w:val="subscript"/>
        </w:rPr>
        <w:t xml:space="preserve">5</w:t>
      </w:r>
      <w:r>
        <w:t xml:space="preserve">H</w:t>
      </w:r>
      <w:r>
        <w:rPr>
          <w:vertAlign w:val="subscript"/>
        </w:rPr>
        <w:t xml:space="preserve">6</w:t>
      </w:r>
      <w:r>
        <w:t xml:space="preserve">N</w:t>
      </w:r>
      <w:r>
        <w:rPr>
          <w:vertAlign w:val="subscript"/>
        </w:rPr>
        <w:t xml:space="preserve">12</w:t>
      </w:r>
      <w:r>
        <w:t xml:space="preserve">O</w:t>
      </w:r>
      <w:r>
        <w:rPr>
          <w:vertAlign w:val="subscript"/>
        </w:rPr>
        <w:t xml:space="preserve">12</w:t>
      </w:r>
      <w:r>
        <w:t xml:space="preserve">)</w:t>
      </w:r>
      <w:r>
        <w:t xml:space="preserve"> </w:t>
      </w:r>
      <w:r>
        <w:t xml:space="preserve">is</w:t>
      </w:r>
      <w:r>
        <w:t xml:space="preserve"> </w:t>
      </w:r>
      <w:r>
        <w:t xml:space="preserve">approximately</w:t>
      </w:r>
      <w:r>
        <w:t xml:space="preserve"> </w:t>
      </w:r>
      <w:r>
        <w:t xml:space="preserve">as</w:t>
      </w:r>
      <w:r>
        <w:t xml:space="preserve"> </w:t>
      </w:r>
      <w:r>
        <w:t xml:space="preserve">stable</w:t>
      </w:r>
      <w:r>
        <w:t xml:space="preserve"> </w:t>
      </w:r>
      <w:r>
        <w:t xml:space="preserve">as</w:t>
      </w:r>
      <w:r>
        <w:t xml:space="preserve"> </w:t>
      </w:r>
      <w:r>
        <w:t xml:space="preserve">pristine</w:t>
      </w:r>
      <w:r>
        <w:t xml:space="preserve"> </w:t>
      </w:r>
      <w:r>
        <w:t xml:space="preserve">CL-20.</w:t>
      </w:r>
      <w:r>
        <w:t xml:space="preserve"> </w:t>
      </w:r>
      <w:r>
        <w:t xml:space="preserve">Energy</w:t>
      </w:r>
      <w:r>
        <w:t xml:space="preserve"> </w:t>
      </w:r>
      <w:r>
        <w:t xml:space="preserve">barrier</w:t>
      </w:r>
      <w:r>
        <w:t xml:space="preserve"> </w:t>
      </w:r>
      <w:r>
        <w:t xml:space="preserve">preventing</w:t>
      </w:r>
      <w:r>
        <w:t xml:space="preserve"> </w:t>
      </w:r>
      <w:r>
        <w:t xml:space="preserve">its</w:t>
      </w:r>
      <w:r>
        <w:t xml:space="preserve"> </w:t>
      </w:r>
      <w:r>
        <w:t xml:space="preserve">decomposition</w:t>
      </w:r>
      <w:r>
        <w:t xml:space="preserve"> </w:t>
      </w:r>
      <w:r>
        <w:t xml:space="preserve">is</w:t>
      </w:r>
      <w:r>
        <w:t xml:space="preserve"> </w:t>
      </w:r>
      <w:r>
        <w:t xml:space="preserve">about</w:t>
      </w:r>
      <w:r>
        <w:t xml:space="preserve"> </w:t>
      </w:r>
      <w:r>
        <w:t xml:space="preserve">200</w:t>
      </w:r>
      <w:r>
        <w:t xml:space="preserve"> </w:t>
      </w:r>
      <w:r>
        <w:t xml:space="preserve">kJ/mol.</w:t>
      </w:r>
      <w:r>
        <w:t xml:space="preserve"> </w:t>
      </w:r>
      <w:r>
        <w:t xml:space="preserve">Energies</w:t>
      </w:r>
      <w:r>
        <w:t xml:space="preserve"> </w:t>
      </w:r>
      <w:r>
        <w:t xml:space="preserve">of</w:t>
      </w:r>
      <w:r>
        <w:t xml:space="preserve"> </w:t>
      </w:r>
      <w:r>
        <w:t xml:space="preserve">the</w:t>
      </w:r>
      <w:r>
        <w:t xml:space="preserve"> </w:t>
      </w:r>
      <w:r>
        <w:t xml:space="preserve">frontier</w:t>
      </w:r>
      <w:r>
        <w:t xml:space="preserve"> </w:t>
      </w:r>
      <w:r>
        <w:t xml:space="preserve">orbitals</w:t>
      </w:r>
      <w:r>
        <w:t xml:space="preserve"> </w:t>
      </w:r>
      <w:r>
        <w:t xml:space="preserve">and</w:t>
      </w:r>
      <w:r>
        <w:t xml:space="preserve"> </w:t>
      </w:r>
      <w:r>
        <w:t xml:space="preserve">reactivity</w:t>
      </w:r>
      <w:r>
        <w:t xml:space="preserve"> </w:t>
      </w:r>
      <w:r>
        <w:t xml:space="preserve">descriptors</w:t>
      </w:r>
      <w:r>
        <w:t xml:space="preserve"> </w:t>
      </w:r>
      <w:r>
        <w:t xml:space="preserve">of</w:t>
      </w:r>
      <w:r>
        <w:t xml:space="preserve"> </w:t>
      </w:r>
      <w:r>
        <w:t xml:space="preserve">CSi</w:t>
      </w:r>
      <w:r>
        <w:rPr>
          <w:vertAlign w:val="subscript"/>
        </w:rPr>
        <w:t xml:space="preserve">5</w:t>
      </w:r>
      <w:r>
        <w:t xml:space="preserve">H</w:t>
      </w:r>
      <w:r>
        <w:rPr>
          <w:vertAlign w:val="subscript"/>
        </w:rPr>
        <w:t xml:space="preserve">6</w:t>
      </w:r>
      <w:r>
        <w:t xml:space="preserve">N</w:t>
      </w:r>
      <w:r>
        <w:rPr>
          <w:vertAlign w:val="subscript"/>
        </w:rPr>
        <w:t xml:space="preserve">12</w:t>
      </w:r>
      <w:r>
        <w:t xml:space="preserve">O</w:t>
      </w:r>
      <w:r>
        <w:rPr>
          <w:vertAlign w:val="subscript"/>
        </w:rPr>
        <w:t xml:space="preserve">12</w:t>
      </w:r>
      <w:r>
        <w:t xml:space="preserve"> </w:t>
      </w:r>
      <w:r>
        <w:t xml:space="preserve">are</w:t>
      </w:r>
      <w:r>
        <w:t xml:space="preserve"> </w:t>
      </w:r>
      <w:r>
        <w:t xml:space="preserve">very</w:t>
      </w:r>
      <w:r>
        <w:t xml:space="preserve"> </w:t>
      </w:r>
      <w:r>
        <w:t xml:space="preserve">close</w:t>
      </w:r>
      <w:r>
        <w:t xml:space="preserve"> </w:t>
      </w:r>
      <w:r>
        <w:t xml:space="preserve">to</w:t>
      </w:r>
      <w:r>
        <w:t xml:space="preserve"> </w:t>
      </w:r>
      <w:r>
        <w:t xml:space="preserve">the</w:t>
      </w:r>
      <w:r>
        <w:t xml:space="preserve"> </w:t>
      </w:r>
      <w:r>
        <w:t xml:space="preserve">corresponding</w:t>
      </w:r>
      <w:r>
        <w:t xml:space="preserve"> </w:t>
      </w:r>
      <w:r>
        <w:t xml:space="preserve">values</w:t>
      </w:r>
      <w:r>
        <w:t xml:space="preserve"> </w:t>
      </w:r>
      <w:r>
        <w:t xml:space="preserve">of</w:t>
      </w:r>
      <w:r>
        <w:t xml:space="preserve"> </w:t>
      </w:r>
      <w:r>
        <w:t xml:space="preserve">pure</w:t>
      </w:r>
      <w:r>
        <w:t xml:space="preserve"> </w:t>
      </w:r>
      <w:r>
        <w:t xml:space="preserve">CL-20.</w:t>
      </w:r>
      <w:r>
        <w:t xml:space="preserve"> </w:t>
      </w:r>
      <w:r>
        <w:t xml:space="preserve">All</w:t>
      </w:r>
      <w:r>
        <w:t xml:space="preserve"> </w:t>
      </w:r>
      <w:r>
        <w:t xml:space="preserve">studied</w:t>
      </w:r>
      <w:r>
        <w:t xml:space="preserve"> </w:t>
      </w:r>
      <w:r>
        <w:t xml:space="preserve">cages</w:t>
      </w:r>
      <w:r>
        <w:t xml:space="preserve"> </w:t>
      </w:r>
      <w:r>
        <w:t xml:space="preserve">can</w:t>
      </w:r>
      <w:r>
        <w:t xml:space="preserve"> </w:t>
      </w:r>
      <w:r>
        <w:t xml:space="preserve">form</w:t>
      </w:r>
      <w:r>
        <w:t xml:space="preserve"> </w:t>
      </w:r>
      <w:r>
        <w:t xml:space="preserve">covalent</w:t>
      </w:r>
      <w:r>
        <w:t xml:space="preserve"> </w:t>
      </w:r>
      <w:r>
        <w:t xml:space="preserve">dimers</w:t>
      </w:r>
      <w:r>
        <w:t xml:space="preserve"> </w:t>
      </w:r>
      <w:r>
        <w:t xml:space="preserve">via</w:t>
      </w:r>
      <w:r>
        <w:t xml:space="preserve"> </w:t>
      </w:r>
      <w:r>
        <w:t xml:space="preserve">the</w:t>
      </w:r>
      <w:r>
        <w:t xml:space="preserve"> </w:t>
      </w:r>
      <w:r>
        <w:t xml:space="preserve">methylene</w:t>
      </w:r>
      <w:r>
        <w:t xml:space="preserve"> </w:t>
      </w:r>
      <w:r>
        <w:t xml:space="preserve">molecular</w:t>
      </w:r>
      <w:r>
        <w:t xml:space="preserve"> </w:t>
      </w:r>
      <w:r>
        <w:t xml:space="preserve">bridges.</w:t>
      </w:r>
      <w:r>
        <w:t xml:space="preserve"> </w:t>
      </w:r>
      <w:r>
        <w:t xml:space="preserve">It</w:t>
      </w:r>
      <w:r>
        <w:t xml:space="preserve"> </w:t>
      </w:r>
      <w:r>
        <w:t xml:space="preserve">is</w:t>
      </w:r>
      <w:r>
        <w:t xml:space="preserve"> </w:t>
      </w:r>
      <w:r>
        <w:t xml:space="preserve">found</w:t>
      </w:r>
      <w:r>
        <w:t xml:space="preserve"> </w:t>
      </w:r>
      <w:r>
        <w:t xml:space="preserve">that</w:t>
      </w:r>
      <w:r>
        <w:t xml:space="preserve"> </w:t>
      </w:r>
      <w:r>
        <w:t xml:space="preserve">the</w:t>
      </w:r>
      <w:r>
        <w:t xml:space="preserve"> </w:t>
      </w:r>
      <w:r>
        <w:t xml:space="preserve">reactions</w:t>
      </w:r>
      <w:r>
        <w:t xml:space="preserve"> </w:t>
      </w:r>
      <w:r>
        <w:t xml:space="preserve">of</w:t>
      </w:r>
      <w:r>
        <w:t xml:space="preserve"> </w:t>
      </w:r>
      <w:r>
        <w:t xml:space="preserve">dimerization</w:t>
      </w:r>
      <w:r>
        <w:t xml:space="preserve"> </w:t>
      </w:r>
      <w:r>
        <w:t xml:space="preserve">are</w:t>
      </w:r>
      <w:r>
        <w:t xml:space="preserve"> </w:t>
      </w:r>
      <w:r>
        <w:t xml:space="preserve">exothermic.</w:t>
      </w:r>
      <w:r>
        <w:t xml:space="preserve"> </w:t>
      </w:r>
      <w:r>
        <w:t xml:space="preserve">Dimers’</w:t>
      </w:r>
      <w:r>
        <w:t xml:space="preserve"> </w:t>
      </w:r>
      <w:r>
        <w:t xml:space="preserve">isomers</w:t>
      </w:r>
      <w:r>
        <w:t xml:space="preserve"> </w:t>
      </w:r>
      <w:r>
        <w:t xml:space="preserve">in</w:t>
      </w:r>
      <w:r>
        <w:t xml:space="preserve"> </w:t>
      </w:r>
      <w:r>
        <w:t xml:space="preserve">which</w:t>
      </w:r>
      <w:r>
        <w:t xml:space="preserve"> </w:t>
      </w:r>
      <w:r>
        <w:t xml:space="preserve">silicon</w:t>
      </w:r>
      <w:r>
        <w:t xml:space="preserve"> </w:t>
      </w:r>
      <w:r>
        <w:t xml:space="preserve">atoms</w:t>
      </w:r>
      <w:r>
        <w:t xml:space="preserve"> </w:t>
      </w:r>
      <w:r>
        <w:t xml:space="preserve">are</w:t>
      </w:r>
      <w:r>
        <w:t xml:space="preserve"> </w:t>
      </w:r>
      <w:r>
        <w:t xml:space="preserve">located</w:t>
      </w:r>
      <w:r>
        <w:t xml:space="preserve"> </w:t>
      </w:r>
      <w:r>
        <w:t xml:space="preserve">closer</w:t>
      </w:r>
      <w:r>
        <w:t xml:space="preserve"> </w:t>
      </w:r>
      <w:r>
        <w:t xml:space="preserve">to</w:t>
      </w:r>
      <w:r>
        <w:t xml:space="preserve"> </w:t>
      </w:r>
      <w:r>
        <w:t xml:space="preserve">the</w:t>
      </w:r>
      <w:r>
        <w:t xml:space="preserve"> </w:t>
      </w:r>
      <w:r>
        <w:t xml:space="preserve">methylene</w:t>
      </w:r>
      <w:r>
        <w:t xml:space="preserve"> </w:t>
      </w:r>
      <w:r>
        <w:t xml:space="preserve">bridges</w:t>
      </w:r>
      <w:r>
        <w:t xml:space="preserve"> </w:t>
      </w:r>
      <w:r>
        <w:t xml:space="preserve">possess</w:t>
      </w:r>
      <w:r>
        <w:t xml:space="preserve"> </w:t>
      </w:r>
      <w:r>
        <w:t xml:space="preserve">lower</w:t>
      </w:r>
      <w:r>
        <w:t xml:space="preserve"> </w:t>
      </w:r>
      <w:r>
        <w:t xml:space="preserve">internal</w:t>
      </w:r>
      <w:r>
        <w:t xml:space="preserve"> </w:t>
      </w:r>
      <w:r>
        <w:t xml:space="preserve">energies.</w:t>
      </w:r>
      <w:r>
        <w:t xml:space="preserve"> </w:t>
      </w:r>
      <w:r>
        <w:t xml:space="preserve">It</w:t>
      </w:r>
      <w:r>
        <w:t xml:space="preserve"> </w:t>
      </w:r>
      <w:r>
        <w:t xml:space="preserve">is</w:t>
      </w:r>
      <w:r>
        <w:t xml:space="preserve"> </w:t>
      </w:r>
      <w:r>
        <w:t xml:space="preserve">found</w:t>
      </w:r>
      <w:r>
        <w:t xml:space="preserve"> </w:t>
      </w:r>
      <w:r>
        <w:t xml:space="preserve">that</w:t>
      </w:r>
      <w:r>
        <w:t xml:space="preserve"> </w:t>
      </w:r>
      <w:r>
        <w:t xml:space="preserve">the</w:t>
      </w:r>
      <w:r>
        <w:t xml:space="preserve"> </w:t>
      </w:r>
      <w:r>
        <w:t xml:space="preserve">mechanisms</w:t>
      </w:r>
      <w:r>
        <w:t xml:space="preserve"> </w:t>
      </w:r>
      <w:r>
        <w:t xml:space="preserve">of</w:t>
      </w:r>
      <w:r>
        <w:t xml:space="preserve"> </w:t>
      </w:r>
      <w:r>
        <w:t xml:space="preserve">dimers’</w:t>
      </w:r>
      <w:r>
        <w:t xml:space="preserve"> </w:t>
      </w:r>
      <w:r>
        <w:t xml:space="preserve">thermal</w:t>
      </w:r>
      <w:r>
        <w:t xml:space="preserve"> </w:t>
      </w:r>
      <w:r>
        <w:t xml:space="preserve">decomposition</w:t>
      </w:r>
      <w:r>
        <w:t xml:space="preserve"> </w:t>
      </w:r>
      <w:r>
        <w:t xml:space="preserve">are</w:t>
      </w:r>
      <w:r>
        <w:t xml:space="preserve"> </w:t>
      </w:r>
      <w:r>
        <w:t xml:space="preserve">similar</w:t>
      </w:r>
      <w:r>
        <w:t xml:space="preserve"> </w:t>
      </w:r>
      <w:r>
        <w:t xml:space="preserve">to</w:t>
      </w:r>
      <w:r>
        <w:t xml:space="preserve"> </w:t>
      </w:r>
      <w:r>
        <w:t xml:space="preserve">the</w:t>
      </w:r>
      <w:r>
        <w:t xml:space="preserve"> </w:t>
      </w:r>
      <w:r>
        <w:t xml:space="preserve">analog</w:t>
      </w:r>
      <w:r>
        <w:t xml:space="preserve"> </w:t>
      </w:r>
      <w:r>
        <w:t xml:space="preserve">mechanisms</w:t>
      </w:r>
      <w:r>
        <w:t xml:space="preserve"> </w:t>
      </w:r>
      <w:r>
        <w:t xml:space="preserve">of</w:t>
      </w:r>
      <w:r>
        <w:t xml:space="preserve"> </w:t>
      </w:r>
      <w:r>
        <w:t xml:space="preserve">corresponding</w:t>
      </w:r>
      <w:r>
        <w:t xml:space="preserve"> </w:t>
      </w:r>
      <w:r>
        <w:t xml:space="preserve">monomers.</w:t>
      </w:r>
      <w:r>
        <w:t xml:space="preserve"> </w:t>
      </w:r>
      <w:r>
        <w:t xml:space="preserve">Dimerization</w:t>
      </w:r>
      <w:r>
        <w:t xml:space="preserve"> </w:t>
      </w:r>
      <w:r>
        <w:t xml:space="preserve">of</w:t>
      </w:r>
      <w:r>
        <w:t xml:space="preserve"> </w:t>
      </w:r>
      <w:r>
        <w:t xml:space="preserve">the</w:t>
      </w:r>
      <w:r>
        <w:t xml:space="preserve"> </w:t>
      </w:r>
      <w:r>
        <w:t xml:space="preserve">cages</w:t>
      </w:r>
      <w:r>
        <w:t xml:space="preserve"> </w:t>
      </w:r>
      <w:r>
        <w:t xml:space="preserve">results</w:t>
      </w:r>
      <w:r>
        <w:t xml:space="preserve"> </w:t>
      </w:r>
      <w:r>
        <w:t xml:space="preserve">in</w:t>
      </w:r>
      <w:r>
        <w:t xml:space="preserve"> </w:t>
      </w:r>
      <w:r>
        <w:t xml:space="preserve">the</w:t>
      </w:r>
      <w:r>
        <w:t xml:space="preserve"> </w:t>
      </w:r>
      <w:r>
        <w:t xml:space="preserve">redshifts</w:t>
      </w:r>
      <w:r>
        <w:t xml:space="preserve"> </w:t>
      </w:r>
      <w:r>
        <w:t xml:space="preserve">of</w:t>
      </w:r>
      <w:r>
        <w:t xml:space="preserve"> </w:t>
      </w:r>
      <w:r>
        <w:t xml:space="preserve">their</w:t>
      </w:r>
      <w:r>
        <w:t xml:space="preserve"> </w:t>
      </w:r>
      <w:r>
        <w:t xml:space="preserve">ultraviolet</w:t>
      </w:r>
      <w:r>
        <w:t xml:space="preserve"> </w:t>
      </w:r>
      <w:r>
        <w:t xml:space="preserve">spectra.</w:t>
      </w:r>
    </w:p>
    <w:p>
      <w:pPr>
        <w:pStyle w:val="Abstract"/>
      </w:pPr>
      <w:r>
        <w:rPr>
          <w:b/>
        </w:rPr>
        <w:t xml:space="preserve">Keywords</w:t>
      </w:r>
      <w:r>
        <w:t xml:space="preserve"> </w:t>
      </w:r>
      <w:r>
        <w:t xml:space="preserve">—hexanitrohexaazaisowurtzitane,</w:t>
      </w:r>
      <w:r>
        <w:t xml:space="preserve"> </w:t>
      </w:r>
      <w:r>
        <w:t xml:space="preserve">HNIW,</w:t>
      </w:r>
      <w:r>
        <w:t xml:space="preserve"> </w:t>
      </w:r>
      <w:r>
        <w:t xml:space="preserve">pyrolysis</w:t>
      </w:r>
      <w:r>
        <w:t xml:space="preserve"> </w:t>
      </w:r>
      <w:r>
        <w:t xml:space="preserve">mechanism,</w:t>
      </w:r>
      <w:r>
        <w:t xml:space="preserve"> </w:t>
      </w:r>
      <w:r>
        <w:t xml:space="preserve">ab</w:t>
      </w:r>
      <w:r>
        <w:t xml:space="preserve"> </w:t>
      </w:r>
      <w:r>
        <w:t xml:space="preserve">initio</w:t>
      </w:r>
      <w:r>
        <w:t xml:space="preserve"> </w:t>
      </w:r>
      <w:r>
        <w:t xml:space="preserve">molecular</w:t>
      </w:r>
      <w:r>
        <w:t xml:space="preserve"> </w:t>
      </w:r>
      <w:r>
        <w:t xml:space="preserve">dynamics,</w:t>
      </w:r>
      <w:r>
        <w:t xml:space="preserve"> </w:t>
      </w:r>
      <w:r>
        <w:t xml:space="preserve">transition</w:t>
      </w:r>
      <w:r>
        <w:t xml:space="preserve"> </w:t>
      </w:r>
      <w:r>
        <w:t xml:space="preserve">state,</w:t>
      </w:r>
      <w:r>
        <w:t xml:space="preserve"> </w:t>
      </w:r>
      <w:r>
        <w:t xml:space="preserve">dimers</w:t>
      </w:r>
    </w:p>
    <w:p>
      <w:pPr>
        <w:pStyle w:val="Heading1"/>
      </w:pPr>
      <w:bookmarkStart w:id="21" w:name="introduction"/>
      <w:bookmarkEnd w:id="21"/>
      <w:r>
        <w:t xml:space="preserve">Introduction</w:t>
      </w:r>
    </w:p>
    <w:p>
      <w:pPr>
        <w:pStyle w:val="FirstParagraph"/>
      </w:pPr>
      <w:r>
        <w:t xml:space="preserve">Hexanitrohexaazaisowurtzitane (HNIW), well-known as CL-20, is one of the</w:t>
      </w:r>
      <w:r>
        <w:t xml:space="preserve"> </w:t>
      </w:r>
      <w:r>
        <w:t xml:space="preserve">most powerful high-energy molecules.(Nair et al. 2005) Like octogen</w:t>
      </w:r>
      <w:r>
        <w:t xml:space="preserve"> </w:t>
      </w:r>
      <w:r>
        <w:t xml:space="preserve">(HMX) and hexogen (RDX), CL-20 belongs to the class of the nitroamine</w:t>
      </w:r>
      <w:r>
        <w:t xml:space="preserve"> </w:t>
      </w:r>
      <w:r>
        <w:t xml:space="preserve">explosives. Due to its strained carbon-nitrogen skeleton with six</w:t>
      </w:r>
      <w:r>
        <w:t xml:space="preserve"> </w:t>
      </w:r>
      <w:r>
        <w:t xml:space="preserve">attached nitro groups, CL-20 possesses much higher performance than</w:t>
      </w:r>
      <w:r>
        <w:t xml:space="preserve"> </w:t>
      </w:r>
      <w:r>
        <w:t xml:space="preserve">HMX.(Simpson et al. 1997) CL-20 was firstly synthesized from benzylamine</w:t>
      </w:r>
      <w:r>
        <w:t xml:space="preserve"> </w:t>
      </w:r>
      <w:r>
        <w:t xml:space="preserve">and glyoxal in 1987 and began to be produced industrially from the</w:t>
      </w:r>
      <w:r>
        <w:t xml:space="preserve"> </w:t>
      </w:r>
      <w:r>
        <w:t xml:space="preserve">1990-s.(Sysolyatin et al. 2005) CL-20 can be obtained in both gaseous and</w:t>
      </w:r>
      <w:r>
        <w:t xml:space="preserve"> </w:t>
      </w:r>
      <w:r>
        <w:t xml:space="preserve">condensed phases. Five different phases of solid CL-20, known as α, β,</w:t>
      </w:r>
      <w:r>
        <w:t xml:space="preserve"> </w:t>
      </w:r>
      <w:r>
        <w:t xml:space="preserve">γ, ε, and ζ modifications, are possible.(Russell et al. 1993; Tan et al. 2011) All of them</w:t>
      </w:r>
      <w:r>
        <w:t xml:space="preserve"> </w:t>
      </w:r>
      <w:r>
        <w:t xml:space="preserve">are the molecular crystals with the weak van-der-Waals bonds between the</w:t>
      </w:r>
      <w:r>
        <w:t xml:space="preserve"> </w:t>
      </w:r>
      <w:r>
        <w:t xml:space="preserve">CL-20 molecules. However, ε modification is the most stable under normal</w:t>
      </w:r>
      <w:r>
        <w:t xml:space="preserve"> </w:t>
      </w:r>
      <w:r>
        <w:t xml:space="preserve">conditions.(Foltz et al. 1994)</w:t>
      </w:r>
    </w:p>
    <w:p>
      <w:pPr>
        <w:pStyle w:val="BodyText"/>
      </w:pPr>
      <w:r>
        <w:t xml:space="preserve">With regard to the practical importance of CL-20, there were many</w:t>
      </w:r>
      <w:r>
        <w:t xml:space="preserve"> </w:t>
      </w:r>
      <w:r>
        <w:t xml:space="preserve">efforts to improve its properties (density, power, detonation velocity,</w:t>
      </w:r>
      <w:r>
        <w:t xml:space="preserve"> </w:t>
      </w:r>
      <w:r>
        <w:t xml:space="preserve">sensitivity, etc.). The most suitable way to do this is</w:t>
      </w:r>
      <w:r>
        <w:t xml:space="preserve"> </w:t>
      </w:r>
      <w:r>
        <w:t xml:space="preserve">co-crystallization of CL-20 with the other high-energy molecules that</w:t>
      </w:r>
      <w:r>
        <w:t xml:space="preserve"> </w:t>
      </w:r>
      <w:r>
        <w:t xml:space="preserve">can fill hollows between isolated CL-20s. Co-crystals of CL-20 with</w:t>
      </w:r>
      <w:r>
        <w:t xml:space="preserve"> </w:t>
      </w:r>
      <w:r>
        <w:t xml:space="preserve">HMX,(Bolton et al. 2012) caprolactam,(Guo et al. 2013)</w:t>
      </w:r>
      <w:r>
        <w:t xml:space="preserve"> </w:t>
      </w:r>
      <w:r>
        <w:t xml:space="preserve">MDNT,(Anderson et al. 2016) DNT,(Liu et al. 2016) TNT,(Li et al. 2013)</w:t>
      </w:r>
      <w:r>
        <w:t xml:space="preserve"> </w:t>
      </w:r>
      <w:r>
        <w:t xml:space="preserve">TATB,(Xu et al. 2015) DNDAP,(Liu et al. 2018) and other compounds</w:t>
      </w:r>
      <w:r>
        <w:t xml:space="preserve"> </w:t>
      </w:r>
      <w:r>
        <w:t xml:space="preserve">were recently prepared and characterized. All of them demonstrate some</w:t>
      </w:r>
      <w:r>
        <w:t xml:space="preserve"> </w:t>
      </w:r>
      <w:r>
        <w:t xml:space="preserve">advantages over the pristine CL-20. Liu </w:t>
      </w:r>
      <w:r>
        <w:rPr>
          <w:i/>
        </w:rPr>
        <w:t xml:space="preserve">et.al</w:t>
      </w:r>
      <w:r>
        <w:t xml:space="preserve">. presented</w:t>
      </w:r>
      <w:r>
        <w:t xml:space="preserve"> </w:t>
      </w:r>
      <w:r>
        <w:t xml:space="preserve">systematic consideration of different co-crystals based on</w:t>
      </w:r>
      <w:r>
        <w:t xml:space="preserve"> </w:t>
      </w:r>
      <w:r>
        <w:t xml:space="preserve">CL-20.(Liu et al. 2018)</w:t>
      </w:r>
    </w:p>
    <w:p>
      <w:pPr>
        <w:pStyle w:val="BodyText"/>
      </w:pPr>
      <w:r>
        <w:t xml:space="preserve">There are some alternative ways to improve the CL-20 properties. One of</w:t>
      </w:r>
      <w:r>
        <w:t xml:space="preserve"> </w:t>
      </w:r>
      <w:r>
        <w:t xml:space="preserve">them is the use of substitutional derivatives of CL-20, in which one or</w:t>
      </w:r>
      <w:r>
        <w:t xml:space="preserve"> </w:t>
      </w:r>
      <w:r>
        <w:t xml:space="preserve">more carbon atoms are replaced by silicon.(Tan et al. 2014) Silicon is</w:t>
      </w:r>
      <w:r>
        <w:t xml:space="preserve"> </w:t>
      </w:r>
      <w:r>
        <w:t xml:space="preserve">placed in the same column of the periodic table as carbon and,</w:t>
      </w:r>
      <w:r>
        <w:t xml:space="preserve"> </w:t>
      </w:r>
      <w:r>
        <w:t xml:space="preserve">therefore, possesses similar properties. Many carbon compounds have</w:t>
      </w:r>
      <w:r>
        <w:t xml:space="preserve"> </w:t>
      </w:r>
      <w:r>
        <w:t xml:space="preserve">their silicon-substituted analogous. For example, silicon analogs of the</w:t>
      </w:r>
      <w:r>
        <w:t xml:space="preserve"> </w:t>
      </w:r>
      <w:r>
        <w:t xml:space="preserve">high-energy pentaerythrityl tetraazide (PETN) were successfully</w:t>
      </w:r>
      <w:r>
        <w:t xml:space="preserve"> </w:t>
      </w:r>
      <w:r>
        <w:t xml:space="preserve">synthesized.(Klapötke et al. 2007) They possess better sensitivity than the</w:t>
      </w:r>
      <w:r>
        <w:t xml:space="preserve"> </w:t>
      </w:r>
      <w:r>
        <w:t xml:space="preserve">pristine carbon PETN.(Liu et al. 2009; Murray et al. 2010) Another possibility for</w:t>
      </w:r>
      <w:r>
        <w:t xml:space="preserve"> </w:t>
      </w:r>
      <w:r>
        <w:t xml:space="preserve">improving the CL-20 energy characteristics is to replace the</w:t>
      </w:r>
      <w:r>
        <w:t xml:space="preserve"> </w:t>
      </w:r>
      <w:r>
        <w:t xml:space="preserve">NO</w:t>
      </w:r>
      <w:r>
        <w:rPr>
          <w:vertAlign w:val="subscript"/>
        </w:rPr>
        <w:t xml:space="preserve">2</w:t>
      </w:r>
      <w:r>
        <w:t xml:space="preserve"> </w:t>
      </w:r>
      <w:r>
        <w:t xml:space="preserve">groups by NF</w:t>
      </w:r>
      <w:r>
        <w:rPr>
          <w:vertAlign w:val="subscript"/>
        </w:rPr>
        <w:t xml:space="preserve">2</w:t>
      </w:r>
      <w:r>
        <w:t xml:space="preserve"> </w:t>
      </w:r>
      <w:r>
        <w:t xml:space="preserve">since fluorine</w:t>
      </w:r>
      <w:r>
        <w:t xml:space="preserve"> </w:t>
      </w:r>
      <w:r>
        <w:t xml:space="preserve">demonstrates the higher oxidation activity than the oxygen. In addition,</w:t>
      </w:r>
      <w:r>
        <w:t xml:space="preserve"> </w:t>
      </w:r>
      <w:r>
        <w:t xml:space="preserve">possible detonation product SiF4 has high negative formation enthalpy in</w:t>
      </w:r>
      <w:r>
        <w:t xml:space="preserve"> </w:t>
      </w:r>
      <w:r>
        <w:t xml:space="preserve">comparison with SiO</w:t>
      </w:r>
      <w:r>
        <w:rPr>
          <w:vertAlign w:val="subscript"/>
        </w:rPr>
        <w:t xml:space="preserve">2</w:t>
      </w:r>
      <w:r>
        <w:t xml:space="preserve">.(Tan et al. 2014)</w:t>
      </w:r>
      <w:r>
        <w:t xml:space="preserve"> </w:t>
      </w:r>
      <w:r>
        <w:t xml:space="preserve">Tan </w:t>
      </w:r>
      <w:r>
        <w:rPr>
          <w:i/>
        </w:rPr>
        <w:t xml:space="preserve">et.al</w:t>
      </w:r>
      <w:r>
        <w:t xml:space="preserve">. presented an extensive computational study of all</w:t>
      </w:r>
      <w:r>
        <w:t xml:space="preserve"> </w:t>
      </w:r>
      <w:r>
        <w:t xml:space="preserve">possible CL-20 derivatives containing silicon and</w:t>
      </w:r>
      <w:r>
        <w:t xml:space="preserve"> </w:t>
      </w:r>
      <w:r>
        <w:t xml:space="preserve">fluorine.(Tan et al. 2014) According to these calculations, some</w:t>
      </w:r>
      <w:r>
        <w:t xml:space="preserve"> </w:t>
      </w:r>
      <w:r>
        <w:t xml:space="preserve">derivatives possess higher crystalline densities, decomposition reaction</w:t>
      </w:r>
      <w:r>
        <w:t xml:space="preserve"> </w:t>
      </w:r>
      <w:r>
        <w:t xml:space="preserve">heats, detonation velocities, detonation pressures and explosion</w:t>
      </w:r>
      <w:r>
        <w:t xml:space="preserve"> </w:t>
      </w:r>
      <w:r>
        <w:t xml:space="preserve">temperatures, than the pristine CL-20 (for example, heat of</w:t>
      </w:r>
      <w:r>
        <w:t xml:space="preserve"> </w:t>
      </w:r>
      <w:r>
        <w:t xml:space="preserve">decomposition of unsubstituted CL-20 and its silicon derivative</w:t>
      </w:r>
      <w:r>
        <w:t xml:space="preserve"> </w:t>
      </w:r>
      <w:r>
        <w:t xml:space="preserve">CSi</w:t>
      </w:r>
      <w:r>
        <w:rPr>
          <w:vertAlign w:val="subscript"/>
        </w:rPr>
        <w:t xml:space="preserve">5</w:t>
      </w:r>
      <w:r>
        <w:t xml:space="preserve">H</w:t>
      </w:r>
      <w:r>
        <w:rPr>
          <w:vertAlign w:val="subscript"/>
        </w:rPr>
        <w:t xml:space="preserve">6</w:t>
      </w:r>
      <w:r>
        <w:t xml:space="preserve">N</w:t>
      </w:r>
      <w:r>
        <w:rPr>
          <w:vertAlign w:val="subscript"/>
        </w:rPr>
        <w:t xml:space="preserve">12</w:t>
      </w:r>
      <w:r>
        <w:t xml:space="preserve">O</w:t>
      </w:r>
      <w:r>
        <w:rPr>
          <w:vertAlign w:val="subscript"/>
        </w:rPr>
        <w:t xml:space="preserve">12</w:t>
      </w:r>
      <w:r>
        <w:t xml:space="preserve"> </w:t>
      </w:r>
      <w:r>
        <w:t xml:space="preserve">at constant volume are equal to -3241.6 and -5045.3 kJ/mol,</w:t>
      </w:r>
      <w:r>
        <w:t xml:space="preserve"> </w:t>
      </w:r>
      <w:r>
        <w:t xml:space="preserve">respectively). Both pristine and substituted CL-20s do not have dangling</w:t>
      </w:r>
      <w:r>
        <w:t xml:space="preserve"> </w:t>
      </w:r>
      <w:r>
        <w:t xml:space="preserve">bonds and, therefore, can not form covalent bonds with each other.</w:t>
      </w:r>
      <w:r>
        <w:t xml:space="preserve"> </w:t>
      </w:r>
      <w:r>
        <w:t xml:space="preserve">However, they presumably can form covalent complexes via the methylene</w:t>
      </w:r>
      <w:r>
        <w:t xml:space="preserve"> </w:t>
      </w:r>
      <w:r>
        <w:t xml:space="preserve">“</w:t>
      </w:r>
      <w:r>
        <w:t xml:space="preserve">molecular bridges</w:t>
      </w:r>
      <w:r>
        <w:t xml:space="preserve">”</w:t>
      </w:r>
      <w:r>
        <w:t xml:space="preserve"> </w:t>
      </w:r>
      <w:r>
        <w:t xml:space="preserve">after detaching several nitro</w:t>
      </w:r>
      <w:r>
        <w:t xml:space="preserve"> </w:t>
      </w:r>
      <w:r>
        <w:t xml:space="preserve">groups.(Degtyarenko, Katin, and Maslov 2014) </w:t>
      </w:r>
      <w:r>
        <w:rPr>
          <w:i/>
        </w:rPr>
        <w:t xml:space="preserve">Ab initio</w:t>
      </w:r>
      <w:r>
        <w:t xml:space="preserve"> </w:t>
      </w:r>
      <w:r>
        <w:t xml:space="preserve">calculations confirm that</w:t>
      </w:r>
      <w:r>
        <w:t xml:space="preserve"> </w:t>
      </w:r>
      <w:r>
        <w:t xml:space="preserve">dimers and larger covalent complexes based on CL-20 molecules are</w:t>
      </w:r>
      <w:r>
        <w:t xml:space="preserve"> </w:t>
      </w:r>
      <w:r>
        <w:t xml:space="preserve">stable, and their stability increases with the effective size of the</w:t>
      </w:r>
      <w:r>
        <w:t xml:space="preserve"> </w:t>
      </w:r>
      <w:r>
        <w:t xml:space="preserve">system.(Katin and Maslov 2017; Gimaldinova, Maslov, and Katin 2018) Such complexes have higher densities in</w:t>
      </w:r>
      <w:r>
        <w:t xml:space="preserve"> </w:t>
      </w:r>
      <w:r>
        <w:t xml:space="preserve">comparison with the molecular crystals due to the shorter distances</w:t>
      </w:r>
      <w:r>
        <w:t xml:space="preserve"> </w:t>
      </w:r>
      <w:r>
        <w:t xml:space="preserve">between the CL-20 cages.</w:t>
      </w:r>
    </w:p>
    <w:p>
      <w:pPr>
        <w:pStyle w:val="BodyText"/>
      </w:pPr>
      <w:r>
        <w:t xml:space="preserve">Here we present the computational study of CL-20 derivatives containing</w:t>
      </w:r>
      <w:r>
        <w:t xml:space="preserve"> </w:t>
      </w:r>
      <w:r>
        <w:t xml:space="preserve">silicon and fluorine atoms. The mechanisms of their pyrolysis are</w:t>
      </w:r>
      <w:r>
        <w:t xml:space="preserve"> </w:t>
      </w:r>
      <w:r>
        <w:t xml:space="preserve">studied using the</w:t>
      </w:r>
      <w:r>
        <w:t xml:space="preserve"> </w:t>
      </w:r>
      <w:r>
        <w:rPr>
          <w:i/>
        </w:rPr>
        <w:t xml:space="preserve">ab initio</w:t>
      </w:r>
      <w:r>
        <w:t xml:space="preserve"> </w:t>
      </w:r>
      <w:r>
        <w:t xml:space="preserve">molecular dynamics and potential</w:t>
      </w:r>
      <w:r>
        <w:t xml:space="preserve"> </w:t>
      </w:r>
      <w:r>
        <w:t xml:space="preserve">energy surfaces investigations. In addition, we study in detail the</w:t>
      </w:r>
      <w:r>
        <w:t xml:space="preserve"> </w:t>
      </w:r>
      <w:r>
        <w:t xml:space="preserve">structure, reactivity and optical spectra of the corresponding dimers in</w:t>
      </w:r>
      <w:r>
        <w:t xml:space="preserve"> </w:t>
      </w:r>
      <w:r>
        <w:t xml:space="preserve">which two cages are attached to each other through the methylene</w:t>
      </w:r>
      <w:r>
        <w:t xml:space="preserve"> </w:t>
      </w:r>
      <w:r>
        <w:t xml:space="preserve">molecular bridges.</w:t>
      </w:r>
    </w:p>
    <w:p>
      <w:pPr>
        <w:pStyle w:val="Heading1"/>
      </w:pPr>
      <w:bookmarkStart w:id="22" w:name="materials-and-methods"/>
      <w:bookmarkEnd w:id="22"/>
      <w:r>
        <w:t xml:space="preserve"> MATERIALS AND METHODS</w:t>
      </w:r>
    </w:p>
    <w:p>
      <w:pPr>
        <w:pStyle w:val="FirstParagraph"/>
      </w:pPr>
      <w:r>
        <w:t xml:space="preserve">We consider three molecules in this study:</w:t>
      </w:r>
      <w:r>
        <w:t xml:space="preserve"> </w:t>
      </w:r>
      <w:r>
        <w:t xml:space="preserve">C</w:t>
      </w:r>
      <w:r>
        <w:rPr>
          <w:vertAlign w:val="subscript"/>
        </w:rPr>
        <w:t xml:space="preserve">6</w:t>
      </w:r>
      <w:r>
        <w:t xml:space="preserve">H</w:t>
      </w:r>
      <w:r>
        <w:rPr>
          <w:vertAlign w:val="subscript"/>
        </w:rPr>
        <w:t xml:space="preserve">6</w:t>
      </w:r>
      <w:r>
        <w:t xml:space="preserve">N</w:t>
      </w:r>
      <w:r>
        <w:rPr>
          <w:vertAlign w:val="subscript"/>
        </w:rPr>
        <w:t xml:space="preserve">12</w:t>
      </w:r>
      <w:r>
        <w:t xml:space="preserve">O</w:t>
      </w:r>
      <w:r>
        <w:rPr>
          <w:vertAlign w:val="subscript"/>
        </w:rPr>
        <w:t xml:space="preserve">12</w:t>
      </w:r>
      <w:r>
        <w:t xml:space="preserve"> </w:t>
      </w:r>
      <w:r>
        <w:t xml:space="preserve">(pristine CL-20) and its two substituted derivatives,</w:t>
      </w:r>
      <w:r>
        <w:t xml:space="preserve"> </w:t>
      </w:r>
      <w:r>
        <w:t xml:space="preserve">CSi</w:t>
      </w:r>
      <w:r>
        <w:rPr>
          <w:vertAlign w:val="subscript"/>
        </w:rPr>
        <w:t xml:space="preserve">5</w:t>
      </w:r>
      <w:r>
        <w:t xml:space="preserve">H</w:t>
      </w:r>
      <w:r>
        <w:rPr>
          <w:vertAlign w:val="subscript"/>
        </w:rPr>
        <w:t xml:space="preserve">6</w:t>
      </w:r>
      <w:r>
        <w:t xml:space="preserve">N</w:t>
      </w:r>
      <w:r>
        <w:rPr>
          <w:vertAlign w:val="subscript"/>
        </w:rPr>
        <w:t xml:space="preserve">12</w:t>
      </w:r>
      <w:r>
        <w:t xml:space="preserve">O</w:t>
      </w:r>
      <w:r>
        <w:rPr>
          <w:vertAlign w:val="subscript"/>
        </w:rPr>
        <w:t xml:space="preserve">12</w:t>
      </w:r>
      <w:r>
        <w:t xml:space="preserve"> </w:t>
      </w:r>
      <w:r>
        <w:t xml:space="preserve">and</w:t>
      </w:r>
      <w:r>
        <w:t xml:space="preserve"> </w:t>
      </w:r>
      <w:r>
        <w:t xml:space="preserve">C</w:t>
      </w:r>
      <w:r>
        <w:rPr>
          <w:vertAlign w:val="subscript"/>
        </w:rPr>
        <w:t xml:space="preserve">4</w:t>
      </w:r>
      <w:r>
        <w:t xml:space="preserve">Si</w:t>
      </w:r>
      <w:r>
        <w:rPr>
          <w:vertAlign w:val="subscript"/>
        </w:rPr>
        <w:t xml:space="preserve">2</w:t>
      </w:r>
      <w:r>
        <w:t xml:space="preserve">H</w:t>
      </w:r>
      <w:r>
        <w:rPr>
          <w:vertAlign w:val="subscript"/>
        </w:rPr>
        <w:t xml:space="preserve">6</w:t>
      </w:r>
      <w:r>
        <w:t xml:space="preserve">N</w:t>
      </w:r>
      <w:r>
        <w:rPr>
          <w:vertAlign w:val="subscript"/>
        </w:rPr>
        <w:t xml:space="preserve">12</w:t>
      </w:r>
      <w:r>
        <w:t xml:space="preserve">F</w:t>
      </w:r>
      <w:r>
        <w:rPr>
          <w:vertAlign w:val="subscript"/>
        </w:rPr>
        <w:t xml:space="preserve">12</w:t>
      </w:r>
      <w:r>
        <w:t xml:space="preserve">.</w:t>
      </w:r>
      <w:r>
        <w:t xml:space="preserve"> </w:t>
      </w:r>
      <w:r>
        <w:t xml:space="preserve">Their atomic structures are presented in Fig. 1.</w:t>
      </w:r>
    </w:p>
    <w:p>
      <w:pPr>
        <w:pStyle w:val="Heading1"/>
      </w:pPr>
      <w:bookmarkStart w:id="23" w:name="section"/>
      <w:bookmarkEnd w:id="23"/>
    </w:p>
    <w:p>
      <w:pPr>
        <w:pStyle w:val="FigureWithCaption"/>
      </w:pPr>
      <w:r>
        <w:drawing>
          <wp:inline>
            <wp:extent cx="4177492" cy="1299732"/>
            <wp:effectExtent b="0" l="0" r="0" t="0"/>
            <wp:docPr descr="Atomic structures of C6H6N12O12 (CL-20) (a) and its substituted derivatives CSi5H6N12O12 (b) and C4Si2H6N12F12 (c). Gray, blue, red, white, brown and green circles correspond to carbon, nitrogen, oxygen, hydrogen, silicon and fluorine atoms, respectively.   " title="" id="1" name="Picture"/>
            <a:graphic>
              <a:graphicData uri="http://schemas.openxmlformats.org/drawingml/2006/picture">
                <pic:pic>
                  <pic:nvPicPr>
                    <pic:cNvPr descr="figures/Figure1/Figure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12997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Atomic structures of</w:t>
      </w:r>
      <w:r>
        <w:t xml:space="preserve"> </w:t>
      </w:r>
      <w:r>
        <w:t xml:space="preserve">C</w:t>
      </w:r>
      <w:r>
        <w:rPr>
          <w:vertAlign w:val="subscript"/>
        </w:rPr>
        <w:t xml:space="preserve">6</w:t>
      </w:r>
      <w:r>
        <w:t xml:space="preserve">H</w:t>
      </w:r>
      <w:r>
        <w:rPr>
          <w:vertAlign w:val="subscript"/>
        </w:rPr>
        <w:t xml:space="preserve">6</w:t>
      </w:r>
      <w:r>
        <w:t xml:space="preserve">N</w:t>
      </w:r>
      <w:r>
        <w:rPr>
          <w:vertAlign w:val="subscript"/>
        </w:rPr>
        <w:t xml:space="preserve">12</w:t>
      </w:r>
      <w:r>
        <w:t xml:space="preserve">O</w:t>
      </w:r>
      <w:r>
        <w:rPr>
          <w:vertAlign w:val="subscript"/>
        </w:rPr>
        <w:t xml:space="preserve">12</w:t>
      </w:r>
      <w:r>
        <w:t xml:space="preserve"> </w:t>
      </w:r>
      <w:r>
        <w:t xml:space="preserve">(CL-20) (a) and its substituted derivatives</w:t>
      </w:r>
      <w:r>
        <w:t xml:space="preserve"> </w:t>
      </w:r>
      <w:r>
        <w:t xml:space="preserve">CSi</w:t>
      </w:r>
      <w:r>
        <w:rPr>
          <w:vertAlign w:val="subscript"/>
        </w:rPr>
        <w:t xml:space="preserve">5</w:t>
      </w:r>
      <w:r>
        <w:t xml:space="preserve">H</w:t>
      </w:r>
      <w:r>
        <w:rPr>
          <w:vertAlign w:val="subscript"/>
        </w:rPr>
        <w:t xml:space="preserve">6</w:t>
      </w:r>
      <w:r>
        <w:t xml:space="preserve">N</w:t>
      </w:r>
      <w:r>
        <w:rPr>
          <w:vertAlign w:val="subscript"/>
        </w:rPr>
        <w:t xml:space="preserve">12</w:t>
      </w:r>
      <w:r>
        <w:t xml:space="preserve">O</w:t>
      </w:r>
      <w:r>
        <w:rPr>
          <w:vertAlign w:val="subscript"/>
        </w:rPr>
        <w:t xml:space="preserve">12</w:t>
      </w:r>
      <w:r>
        <w:t xml:space="preserve"> </w:t>
      </w:r>
      <w:r>
        <w:t xml:space="preserve">(b) and</w:t>
      </w:r>
      <w:r>
        <w:t xml:space="preserve"> </w:t>
      </w:r>
      <w:r>
        <w:t xml:space="preserve">C</w:t>
      </w:r>
      <w:r>
        <w:rPr>
          <w:vertAlign w:val="subscript"/>
        </w:rPr>
        <w:t xml:space="preserve">4</w:t>
      </w:r>
      <w:r>
        <w:t xml:space="preserve">Si</w:t>
      </w:r>
      <w:r>
        <w:rPr>
          <w:vertAlign w:val="subscript"/>
        </w:rPr>
        <w:t xml:space="preserve">2</w:t>
      </w:r>
      <w:r>
        <w:t xml:space="preserve">H</w:t>
      </w:r>
      <w:r>
        <w:rPr>
          <w:vertAlign w:val="subscript"/>
        </w:rPr>
        <w:t xml:space="preserve">6</w:t>
      </w:r>
      <w:r>
        <w:t xml:space="preserve">N</w:t>
      </w:r>
      <w:r>
        <w:rPr>
          <w:vertAlign w:val="subscript"/>
        </w:rPr>
        <w:t xml:space="preserve">12</w:t>
      </w:r>
      <w:r>
        <w:t xml:space="preserve">F</w:t>
      </w:r>
      <w:r>
        <w:rPr>
          <w:vertAlign w:val="subscript"/>
        </w:rPr>
        <w:t xml:space="preserve">12</w:t>
      </w:r>
      <w:r>
        <w:t xml:space="preserve"> </w:t>
      </w:r>
      <w:r>
        <w:t xml:space="preserve">(c). Gray, blue, red, white, brown and green circles correspond to</w:t>
      </w:r>
      <w:r>
        <w:t xml:space="preserve"> </w:t>
      </w:r>
      <w:r>
        <w:t xml:space="preserve">carbon, nitrogen, oxygen, hydrogen, silicon and fluorine atoms,</w:t>
      </w:r>
      <w:r>
        <w:t xml:space="preserve"> </w:t>
      </w:r>
      <w:r>
        <w:t xml:space="preserve">respectively.  </w:t>
      </w:r>
      <w:r>
        <w:t xml:space="preserve"> </w:t>
      </w:r>
    </w:p>
    <w:p>
      <w:pPr>
        <w:pStyle w:val="BodyText"/>
      </w:pPr>
      <w:r>
        <w:t xml:space="preserve">These derivatives were chosen because they demonstrate the highest heats</w:t>
      </w:r>
      <w:r>
        <w:t xml:space="preserve"> </w:t>
      </w:r>
      <w:r>
        <w:t xml:space="preserve">of decomposition reactions, detonation velocities, and temperatures</w:t>
      </w:r>
      <w:r>
        <w:t xml:space="preserve"> </w:t>
      </w:r>
      <w:r>
        <w:t xml:space="preserve">among all the other compounds.(Tan et al. 2014) Corresponding dimers</w:t>
      </w:r>
      <w:r>
        <w:t xml:space="preserve"> </w:t>
      </w:r>
      <w:r>
        <w:t xml:space="preserve">are constructed using the methylene molecular bridges because methylene</w:t>
      </w:r>
      <w:r>
        <w:t xml:space="preserve"> </w:t>
      </w:r>
      <w:r>
        <w:t xml:space="preserve">provides stronger binding than the other possible</w:t>
      </w:r>
      <w:r>
        <w:t xml:space="preserve"> </w:t>
      </w:r>
      <w:r>
        <w:t xml:space="preserve">bridges.(Degtyarenko, Katin, and Maslov 2014) Ground state geometries are optimized in the</w:t>
      </w:r>
      <w:r>
        <w:t xml:space="preserve"> </w:t>
      </w:r>
      <w:r>
        <w:t xml:space="preserve">frame of density functional theory with the Becke’s three-parameter</w:t>
      </w:r>
      <w:r>
        <w:t xml:space="preserve"> </w:t>
      </w:r>
      <w:r>
        <w:t xml:space="preserve">functional B3LYP.(Lee, Yang, and Parr 1988; Becke 1993) Two electron basis sets</w:t>
      </w:r>
      <w:r>
        <w:t xml:space="preserve"> </w:t>
      </w:r>
      <w:r>
        <w:t xml:space="preserve">6-311G(d,p)(Krishnan et al. 1980) and 6-311G++(2d,2p)(Feller 1996; Schuchardt et al. 2007) are</w:t>
      </w:r>
      <w:r>
        <w:t xml:space="preserve"> </w:t>
      </w:r>
      <w:r>
        <w:t xml:space="preserve">used. Both of them result in almost the same energies, geometries, and</w:t>
      </w:r>
      <w:r>
        <w:t xml:space="preserve"> </w:t>
      </w:r>
      <w:r>
        <w:t xml:space="preserve">frontier electronic orbitals. Thus, we use the smaller basis 6-311G(d,p)</w:t>
      </w:r>
      <w:r>
        <w:t xml:space="preserve"> </w:t>
      </w:r>
      <w:r>
        <w:t xml:space="preserve">during the molecular dynamics run, hessian calculations, transition</w:t>
      </w:r>
      <w:r>
        <w:t xml:space="preserve"> </w:t>
      </w:r>
      <w:r>
        <w:t xml:space="preserve">state search, and optical spectra computing. Terachem</w:t>
      </w:r>
      <w:r>
        <w:t xml:space="preserve"> </w:t>
      </w:r>
      <w:r>
        <w:t xml:space="preserve">software(Titov et al. 2012; Ufimtsev and Martinez 2009; Kästner Johannes et al. 2009; Goumans et al. 2009) which provides the high-performance quantum</w:t>
      </w:r>
      <w:r>
        <w:t xml:space="preserve"> </w:t>
      </w:r>
      <w:r>
        <w:t xml:space="preserve">chemical algorithms on graphical processors is used for most</w:t>
      </w:r>
      <w:r>
        <w:t xml:space="preserve"> </w:t>
      </w:r>
      <w:r>
        <w:t xml:space="preserve">calculations. GAMESS program package(Schmidt et al. 1993) is also applied</w:t>
      </w:r>
      <w:r>
        <w:t xml:space="preserve"> </w:t>
      </w:r>
      <w:r>
        <w:t xml:space="preserve">for the local search of transition states and their validations.</w:t>
      </w:r>
    </w:p>
    <w:p>
      <w:pPr>
        <w:pStyle w:val="BodyText"/>
      </w:pPr>
      <w:r>
        <w:t xml:space="preserve">Pyrolysis mechanisms are studied using the</w:t>
      </w:r>
      <w:r>
        <w:t xml:space="preserve"> </w:t>
      </w:r>
      <w:r>
        <w:rPr>
          <w:i/>
        </w:rPr>
        <w:t xml:space="preserve">ab initio</w:t>
      </w:r>
      <w:r>
        <w:t xml:space="preserve"> </w:t>
      </w:r>
      <w:r>
        <w:t xml:space="preserve">molecular</w:t>
      </w:r>
      <w:r>
        <w:t xml:space="preserve"> </w:t>
      </w:r>
      <w:r>
        <w:t xml:space="preserve">dynamics at constant temperature</w:t>
      </w:r>
      <w:r>
        <w:t xml:space="preserve"> </w:t>
      </w:r>
      <w:r>
        <w:rPr>
          <w:i/>
        </w:rPr>
        <w:t xml:space="preserve">T</w:t>
      </w:r>
      <w:r>
        <w:t xml:space="preserve"> </w:t>
      </w:r>
      <w:r>
        <w:t xml:space="preserve">= 3000 K with the Langevin</w:t>
      </w:r>
      <w:r>
        <w:t xml:space="preserve"> </w:t>
      </w:r>
      <w:r>
        <w:t xml:space="preserve">thermostat. Total simulation time is equal to 2 ps, whereas the time</w:t>
      </w:r>
      <w:r>
        <w:t xml:space="preserve"> </w:t>
      </w:r>
      <w:r>
        <w:t xml:space="preserve">step is equal to 0.1 fs. Ten independent simulations were performed for</w:t>
      </w:r>
      <w:r>
        <w:t xml:space="preserve"> </w:t>
      </w:r>
      <w:r>
        <w:t xml:space="preserve">each system. Decomposition paths adopted from the molecular dynamics</w:t>
      </w:r>
      <w:r>
        <w:t xml:space="preserve"> </w:t>
      </w:r>
      <w:r>
        <w:t xml:space="preserve">were optimized in the frame of nudged elastic band (NEB) technique as it</w:t>
      </w:r>
      <w:r>
        <w:t xml:space="preserve"> </w:t>
      </w:r>
      <w:r>
        <w:t xml:space="preserve">was implemented in TeraChem. Configurations with the highest energies on</w:t>
      </w:r>
      <w:r>
        <w:t xml:space="preserve"> </w:t>
      </w:r>
      <w:r>
        <w:t xml:space="preserve">the NEB paths were additionally optimized using the Hessian-based local</w:t>
      </w:r>
      <w:r>
        <w:t xml:space="preserve"> </w:t>
      </w:r>
      <w:r>
        <w:t xml:space="preserve">algorithm for the transition state search as it was implemented in</w:t>
      </w:r>
      <w:r>
        <w:t xml:space="preserve"> </w:t>
      </w:r>
      <w:r>
        <w:t xml:space="preserve">GAMESS. Hessian calculations and an intrinsic reaction coordinate</w:t>
      </w:r>
      <w:r>
        <w:t xml:space="preserve"> </w:t>
      </w:r>
      <w:r>
        <w:t xml:space="preserve">approach are carried out to confirm the transition state configuration.</w:t>
      </w:r>
      <w:r>
        <w:t xml:space="preserve"> </w:t>
      </w:r>
      <w:r>
        <w:t xml:space="preserve">To take into account the influence of vibrational energies on pyrolysis</w:t>
      </w:r>
      <w:r>
        <w:t xml:space="preserve"> </w:t>
      </w:r>
      <w:r>
        <w:t xml:space="preserve">mechanisms, we consider the Gibbs energies</w:t>
      </w:r>
      <w:r>
        <w:t xml:space="preserve"> </w:t>
      </w:r>
      <w:r>
        <w:rPr>
          <w:i/>
        </w:rPr>
        <w:t xml:space="preserve">G</w:t>
      </w:r>
      <w:r>
        <w:t xml:space="preserve"> </w:t>
      </w:r>
      <w:r>
        <w:t xml:space="preserve">for reactants,</w:t>
      </w:r>
      <w:r>
        <w:t xml:space="preserve"> </w:t>
      </w:r>
      <w:r>
        <w:t xml:space="preserve">products and transition state configurations. Taking into account the</w:t>
      </w:r>
      <w:r>
        <w:t xml:space="preserve"> </w:t>
      </w:r>
      <w:r>
        <w:t xml:space="preserve">ideal gas approximation, we evaluate Gibbs energy as</w:t>
      </w:r>
    </w:p>
    <w:p>
      <w:pPr>
        <w:pStyle w:val="BodyText"/>
      </w:pPr>
      <m:oMath>
        <m:r>
          <m:t>G</m:t>
        </m:r>
        <m:r>
          <m:t>=</m:t>
        </m:r>
        <m:r>
          <m:t>E</m:t>
        </m:r>
        <m:r>
          <m:t>+</m:t>
        </m:r>
        <m:sSub>
          <m:e>
            <m:r>
              <m:t>E</m:t>
            </m:r>
          </m:e>
          <m:sub>
            <m:r>
              <m:t>v</m:t>
            </m:r>
            <m:r>
              <m:t>i</m:t>
            </m:r>
            <m:r>
              <m:t>b</m:t>
            </m:r>
          </m:sub>
        </m:sSub>
        <m:r>
          <m:t>+</m:t>
        </m:r>
        <m:r>
          <m:t>R</m:t>
        </m:r>
        <m:r>
          <m:t>T</m:t>
        </m:r>
        <m:r>
          <m:t>−</m:t>
        </m:r>
        <m:r>
          <m:t>T</m:t>
        </m:r>
        <m:sSub>
          <m:e>
            <m:r>
              <m:t>S</m:t>
            </m:r>
          </m:e>
          <m:sub>
            <m:r>
              <m:t>v</m:t>
            </m:r>
            <m:r>
              <m:t>i</m:t>
            </m:r>
            <m:r>
              <m:t>b</m:t>
            </m:r>
          </m:sub>
        </m:sSub>
      </m:oMath>
      <w:r>
        <w:t xml:space="preserve">,</w:t>
      </w:r>
    </w:p>
    <w:p>
      <w:pPr>
        <w:pStyle w:val="BodyText"/>
      </w:pPr>
      <w:r>
        <w:t xml:space="preserve">where</w:t>
      </w:r>
      <w:r>
        <w:t xml:space="preserve"> </w:t>
      </w:r>
      <w:r>
        <w:rPr>
          <w:i/>
        </w:rPr>
        <w:t xml:space="preserve">E</w:t>
      </w:r>
      <w:r>
        <w:t xml:space="preserve"> </w:t>
      </w:r>
      <w:r>
        <w:t xml:space="preserve">and</w:t>
      </w:r>
      <w:r>
        <w:t xml:space="preserve"> </w:t>
      </w:r>
      <w:r>
        <w:rPr>
          <w:i/>
        </w:rPr>
        <w:t xml:space="preserve">E</w:t>
      </w:r>
      <w:r>
        <w:rPr>
          <w:vertAlign w:val="subscript"/>
        </w:rPr>
        <w:t xml:space="preserve">vib</w:t>
      </w:r>
      <w:r>
        <w:t xml:space="preserve"> </w:t>
      </w:r>
      <w:r>
        <w:t xml:space="preserve">are the ground state and</w:t>
      </w:r>
      <w:r>
        <w:t xml:space="preserve"> </w:t>
      </w:r>
      <w:r>
        <w:t xml:space="preserve">vibrational energies, respectively,</w:t>
      </w:r>
      <w:r>
        <w:t xml:space="preserve"> </w:t>
      </w:r>
      <w:r>
        <w:rPr>
          <w:i/>
        </w:rPr>
        <w:t xml:space="preserve">S</w:t>
      </w:r>
      <w:r>
        <w:rPr>
          <w:vertAlign w:val="subscript"/>
        </w:rPr>
        <w:t xml:space="preserve">vib</w:t>
      </w:r>
      <w:r>
        <w:t xml:space="preserve"> </w:t>
      </w:r>
      <w:r>
        <w:t xml:space="preserve">is the</w:t>
      </w:r>
      <w:r>
        <w:t xml:space="preserve"> </w:t>
      </w:r>
      <w:r>
        <w:t xml:space="preserve">vibrational entropy,</w:t>
      </w:r>
      <w:r>
        <w:t xml:space="preserve"> </w:t>
      </w:r>
      <w:r>
        <w:rPr>
          <w:i/>
        </w:rPr>
        <w:t xml:space="preserve">R</w:t>
      </w:r>
      <w:r>
        <w:t xml:space="preserve"> </w:t>
      </w:r>
      <w:r>
        <w:t xml:space="preserve">= 8.31 J/(mol·K) is the gaseous constant,</w:t>
      </w:r>
      <w:r>
        <w:t xml:space="preserve"> </w:t>
      </w:r>
      <w:r>
        <w:rPr>
          <w:i/>
        </w:rPr>
        <w:t xml:space="preserve">T</w:t>
      </w:r>
      <w:r>
        <w:t xml:space="preserve"> </w:t>
      </w:r>
      <w:r>
        <w:t xml:space="preserve">is the temperature.</w:t>
      </w:r>
    </w:p>
    <w:p>
      <w:pPr>
        <w:pStyle w:val="BodyText"/>
      </w:pPr>
      <w:r>
        <w:t xml:space="preserve">Electron affinities (EA) and ionization potentials (IA) of considered</w:t>
      </w:r>
      <w:r>
        <w:t xml:space="preserve"> </w:t>
      </w:r>
      <w:r>
        <w:t xml:space="preserve">compounds are calculated from their HOMO and LUMO energies in accordance</w:t>
      </w:r>
      <w:r>
        <w:t xml:space="preserve"> </w:t>
      </w:r>
      <w:r>
        <w:t xml:space="preserve">with the Koopmans’ theorem for the closed-shell molecular</w:t>
      </w:r>
      <w:r>
        <w:t xml:space="preserve"> </w:t>
      </w:r>
      <w:r>
        <w:t xml:space="preserve">systems.(Koopmans 1934) Descriptors of reactivity, such as chemical</w:t>
      </w:r>
      <w:r>
        <w:t xml:space="preserve"> </w:t>
      </w:r>
      <w:r>
        <w:t xml:space="preserve">hardness (</w:t>
      </w:r>
      <w:r>
        <w:rPr>
          <w:i/>
        </w:rPr>
        <w:t xml:space="preserve">η</w:t>
      </w:r>
      <w:r>
        <w:t xml:space="preserve">) and softness (</w:t>
      </w:r>
      <w:r>
        <w:rPr>
          <w:i/>
        </w:rPr>
        <w:t xml:space="preserve">S</w:t>
      </w:r>
      <w:r>
        <w:t xml:space="preserve">), the chemical potential</w:t>
      </w:r>
      <w:r>
        <w:t xml:space="preserve"> </w:t>
      </w:r>
      <w:r>
        <w:t xml:space="preserve">(</w:t>
      </w:r>
      <w:r>
        <w:rPr>
          <w:i/>
        </w:rPr>
        <w:t xml:space="preserve">μ</w:t>
      </w:r>
      <w:r>
        <w:t xml:space="preserve">), electronegativity (</w:t>
      </w:r>
      <w:r>
        <w:rPr>
          <w:i/>
        </w:rPr>
        <w:t xml:space="preserve">χ</w:t>
      </w:r>
      <w:r>
        <w:t xml:space="preserve">) and electrophilicity index</w:t>
      </w:r>
      <w:r>
        <w:t xml:space="preserve"> </w:t>
      </w:r>
      <w:r>
        <w:t xml:space="preserve">(</w:t>
      </w:r>
      <w:r>
        <w:rPr>
          <w:i/>
        </w:rPr>
        <w:t xml:space="preserve">ω</w:t>
      </w:r>
      <w:r>
        <w:t xml:space="preserve">), are determined by the same way as it was made in</w:t>
      </w:r>
      <w:r>
        <w:t xml:space="preserve"> </w:t>
      </w:r>
      <w:r>
        <w:t xml:space="preserve">Ref. (Gimaldinova, Maslov, and Katin 2018). To calculate the ultraviolet (UV) spectra, all</w:t>
      </w:r>
      <w:r>
        <w:t xml:space="preserve"> </w:t>
      </w:r>
      <w:r>
        <w:t xml:space="preserve">geometries were reoptimized with the CAM-B3LYP</w:t>
      </w:r>
      <w:r>
        <w:t xml:space="preserve"> </w:t>
      </w:r>
      <w:r>
        <w:t xml:space="preserve">functional,(Yanai, Tew, and Handy 2004) which took into account the long-range</w:t>
      </w:r>
      <w:r>
        <w:t xml:space="preserve"> </w:t>
      </w:r>
      <w:r>
        <w:t xml:space="preserve">Coulomb correlations. Twenty excited states were found using the same</w:t>
      </w:r>
      <w:r>
        <w:t xml:space="preserve"> </w:t>
      </w:r>
      <w:r>
        <w:t xml:space="preserve">CAM-B3LYP approach in the frame of Tamm-Dancoff time-dependent density</w:t>
      </w:r>
      <w:r>
        <w:t xml:space="preserve"> </w:t>
      </w:r>
      <w:r>
        <w:t xml:space="preserve">functional technique implemented in TeraChem.(Isborn et al. 2011) </w:t>
      </w:r>
    </w:p>
    <w:p>
      <w:pPr>
        <w:pStyle w:val="Heading1"/>
      </w:pPr>
      <w:bookmarkStart w:id="25" w:name="results-and-discussions"/>
      <w:bookmarkEnd w:id="25"/>
      <w:r>
        <w:t xml:space="preserve">RESULTS AND DISCUSSIONS</w:t>
      </w:r>
    </w:p>
    <w:p>
      <w:pPr>
        <w:pStyle w:val="Heading2"/>
      </w:pPr>
      <w:bookmarkStart w:id="26" w:name="pyrolysis-mechanisms-of-the-cl-20-derivatives"/>
      <w:bookmarkEnd w:id="26"/>
      <w:r>
        <w:t xml:space="preserve">Pyrolysis mechanisms of the CL-20</w:t>
      </w:r>
      <w:r>
        <w:t xml:space="preserve"> </w:t>
      </w:r>
      <w:r>
        <w:t xml:space="preserve">derivatives</w:t>
      </w:r>
    </w:p>
    <w:p>
      <w:pPr>
        <w:pStyle w:val="FirstParagraph"/>
      </w:pPr>
      <w:r>
        <w:t xml:space="preserve">CL-20 is a highly strained metastable compound and, therefore, it</w:t>
      </w:r>
      <w:r>
        <w:t xml:space="preserve"> </w:t>
      </w:r>
      <w:r>
        <w:t xml:space="preserve">decomposes at high temperatures with a heat releasing. According to the</w:t>
      </w:r>
      <w:r>
        <w:t xml:space="preserve"> </w:t>
      </w:r>
      <w:r>
        <w:t xml:space="preserve">previous studies, decomposition of CL-20 starts with the fission of</w:t>
      </w:r>
      <w:r>
        <w:t xml:space="preserve"> </w:t>
      </w:r>
      <w:r>
        <w:t xml:space="preserve">nitro group that induces a skeleton destabilization and further</w:t>
      </w:r>
      <w:r>
        <w:t xml:space="preserve"> </w:t>
      </w:r>
      <w:r>
        <w:t xml:space="preserve">decomposition.(Isayev et al. 2008) So, the NO</w:t>
      </w:r>
      <w:r>
        <w:rPr>
          <w:vertAlign w:val="subscript"/>
        </w:rPr>
        <w:t xml:space="preserve">2</w:t>
      </w:r>
      <w:r>
        <w:t xml:space="preserve"> </w:t>
      </w:r>
      <w:r>
        <w:t xml:space="preserve">fission</w:t>
      </w:r>
      <w:r>
        <w:t xml:space="preserve"> </w:t>
      </w:r>
      <w:r>
        <w:t xml:space="preserve">determines the overall activation barrier.(Isayev et al. 2008) The</w:t>
      </w:r>
      <w:r>
        <w:t xml:space="preserve"> </w:t>
      </w:r>
      <w:r>
        <w:t xml:space="preserve">N–NO</w:t>
      </w:r>
      <w:r>
        <w:rPr>
          <w:vertAlign w:val="subscript"/>
        </w:rPr>
        <w:t xml:space="preserve">2</w:t>
      </w:r>
      <w:r>
        <w:t xml:space="preserve"> </w:t>
      </w:r>
      <w:r>
        <w:t xml:space="preserve">bond dissociation is a barrierless process, and</w:t>
      </w:r>
      <w:r>
        <w:t xml:space="preserve"> </w:t>
      </w:r>
      <w:r>
        <w:t xml:space="preserve">the corresponding bond dissociation energy needed for the</w:t>
      </w:r>
      <w:r>
        <w:t xml:space="preserve"> </w:t>
      </w:r>
      <w:r>
        <w:t xml:space="preserve">NO</w:t>
      </w:r>
      <w:r>
        <w:rPr>
          <w:vertAlign w:val="subscript"/>
        </w:rPr>
        <w:t xml:space="preserve">2</w:t>
      </w:r>
      <w:r>
        <w:t xml:space="preserve"> </w:t>
      </w:r>
      <w:r>
        <w:t xml:space="preserve">fission is about 200 kJ/mol.(Lin-lin and Hu 2018) In</w:t>
      </w:r>
      <w:r>
        <w:t xml:space="preserve"> </w:t>
      </w:r>
      <w:r>
        <w:t xml:space="preserve">Ref. (Tan et al. 2014) the authors proposed a natural assumption that</w:t>
      </w:r>
      <w:r>
        <w:t xml:space="preserve"> </w:t>
      </w:r>
      <w:r>
        <w:t xml:space="preserve">the same mechanism (NO</w:t>
      </w:r>
      <w:r>
        <w:rPr>
          <w:vertAlign w:val="subscript"/>
        </w:rPr>
        <w:t xml:space="preserve">2</w:t>
      </w:r>
      <w:r>
        <w:t xml:space="preserve"> </w:t>
      </w:r>
      <w:r>
        <w:t xml:space="preserve">or NF</w:t>
      </w:r>
      <w:r>
        <w:rPr>
          <w:vertAlign w:val="subscript"/>
        </w:rPr>
        <w:t xml:space="preserve">2</w:t>
      </w:r>
      <w:r>
        <w:t xml:space="preserve"> </w:t>
      </w:r>
      <w:r>
        <w:t xml:space="preserve">fission)</w:t>
      </w:r>
      <w:r>
        <w:t xml:space="preserve"> </w:t>
      </w:r>
      <w:r>
        <w:t xml:space="preserve">is also relevant to the CL-20 derivatives. However, this assumption was</w:t>
      </w:r>
      <w:r>
        <w:t xml:space="preserve"> </w:t>
      </w:r>
      <w:r>
        <w:t xml:space="preserve">not confirmed by our </w:t>
      </w:r>
      <w:r>
        <w:rPr>
          <w:i/>
        </w:rPr>
        <w:t xml:space="preserve">ab initio</w:t>
      </w:r>
      <w:r>
        <w:t xml:space="preserve"> </w:t>
      </w:r>
      <w:r>
        <w:t xml:space="preserve">molecular dynamics simulations.</w:t>
      </w:r>
    </w:p>
    <w:p>
      <w:pPr>
        <w:pStyle w:val="BodyText"/>
      </w:pPr>
      <w:r>
        <w:t xml:space="preserve">Observing the evolution of heated CL-20 derivatives, we found two</w:t>
      </w:r>
      <w:r>
        <w:t xml:space="preserve"> </w:t>
      </w:r>
      <w:r>
        <w:t xml:space="preserve">competitive mechanisms of the initial decomposition step. The first</w:t>
      </w:r>
      <w:r>
        <w:t xml:space="preserve"> </w:t>
      </w:r>
      <w:r>
        <w:t xml:space="preserve">mechanism is the NO</w:t>
      </w:r>
      <w:r>
        <w:rPr>
          <w:vertAlign w:val="subscript"/>
        </w:rPr>
        <w:t xml:space="preserve">2</w:t>
      </w:r>
      <w:r>
        <w:t xml:space="preserve"> </w:t>
      </w:r>
      <w:r>
        <w:t xml:space="preserve">or NF</w:t>
      </w:r>
      <w:r>
        <w:rPr>
          <w:vertAlign w:val="subscript"/>
        </w:rPr>
        <w:t xml:space="preserve">2</w:t>
      </w:r>
      <w:r>
        <w:t xml:space="preserve"> </w:t>
      </w:r>
      <w:r>
        <w:t xml:space="preserve">fission, and</w:t>
      </w:r>
      <w:r>
        <w:t xml:space="preserve"> </w:t>
      </w:r>
      <w:r>
        <w:t xml:space="preserve">the second one is a migration of O or F atom with the formation of Si–O</w:t>
      </w:r>
      <w:r>
        <w:t xml:space="preserve"> </w:t>
      </w:r>
      <w:r>
        <w:t xml:space="preserve">or Si–F covalent bond. Migration is possible for the Si-containing</w:t>
      </w:r>
      <w:r>
        <w:t xml:space="preserve"> </w:t>
      </w:r>
      <w:r>
        <w:t xml:space="preserve">CL-20 derivatives because silicon possesses a larger covalent radius</w:t>
      </w:r>
      <w:r>
        <w:t xml:space="preserve"> </w:t>
      </w:r>
      <w:r>
        <w:t xml:space="preserve">(1.11 Å) than the carbon (0.76 Å). Corresponding energetic diagrams are</w:t>
      </w:r>
      <w:r>
        <w:t xml:space="preserve"> </w:t>
      </w:r>
      <w:r>
        <w:t xml:space="preserve">presented in Fig. 2. For the</w:t>
      </w:r>
      <w:r>
        <w:t xml:space="preserve"> </w:t>
      </w:r>
      <w:r>
        <w:t xml:space="preserve">CSi</w:t>
      </w:r>
      <w:r>
        <w:rPr>
          <w:vertAlign w:val="subscript"/>
        </w:rPr>
        <w:t xml:space="preserve">5</w:t>
      </w:r>
      <w:r>
        <w:t xml:space="preserve">H</w:t>
      </w:r>
      <w:r>
        <w:rPr>
          <w:vertAlign w:val="subscript"/>
        </w:rPr>
        <w:t xml:space="preserve">6</w:t>
      </w:r>
      <w:r>
        <w:t xml:space="preserve">N</w:t>
      </w:r>
      <w:r>
        <w:rPr>
          <w:vertAlign w:val="subscript"/>
        </w:rPr>
        <w:t xml:space="preserve">12</w:t>
      </w:r>
      <w:r>
        <w:t xml:space="preserve">O</w:t>
      </w:r>
      <w:r>
        <w:rPr>
          <w:vertAlign w:val="subscript"/>
        </w:rPr>
        <w:t xml:space="preserve">12</w:t>
      </w:r>
      <w:r>
        <w:t xml:space="preserve"> </w:t>
      </w:r>
      <w:r>
        <w:t xml:space="preserve">system, the barrier for the NO</w:t>
      </w:r>
      <w:r>
        <w:rPr>
          <w:vertAlign w:val="subscript"/>
        </w:rPr>
        <w:t xml:space="preserve">2</w:t>
      </w:r>
      <w:r>
        <w:t xml:space="preserve"> </w:t>
      </w:r>
      <w:r>
        <w:t xml:space="preserve">fission is somewhat</w:t>
      </w:r>
      <w:r>
        <w:t xml:space="preserve"> </w:t>
      </w:r>
      <w:r>
        <w:t xml:space="preserve">lower than that for the O migration. Therefore, the NO</w:t>
      </w:r>
      <w:r>
        <w:rPr>
          <w:vertAlign w:val="subscript"/>
        </w:rPr>
        <w:t xml:space="preserve">2</w:t>
      </w:r>
      <w:r>
        <w:t xml:space="preserve"> </w:t>
      </w:r>
      <w:r>
        <w:t xml:space="preserve">fission mechanism prevails at room temperature. However, at higher</w:t>
      </w:r>
      <w:r>
        <w:t xml:space="preserve"> </w:t>
      </w:r>
      <w:r>
        <w:t xml:space="preserve">temperatures, one should consider thermal corrections. For example,</w:t>
      </w:r>
      <w:r>
        <w:t xml:space="preserve"> </w:t>
      </w:r>
      <w:r>
        <w:t xml:space="preserve">at </w:t>
      </w:r>
      <w:r>
        <w:rPr>
          <w:i/>
        </w:rPr>
        <w:t xml:space="preserve">T</w:t>
      </w:r>
      <w:r>
        <w:t xml:space="preserve"> </w:t>
      </w:r>
      <w:r>
        <w:t xml:space="preserve">= 3000 K (it is about the half of CL-20 explosive</w:t>
      </w:r>
      <w:r>
        <w:t xml:space="preserve"> </w:t>
      </w:r>
      <w:r>
        <w:t xml:space="preserve">temperature) O migration mechanism becomes more feasible with regard to</w:t>
      </w:r>
      <w:r>
        <w:t xml:space="preserve"> </w:t>
      </w:r>
      <w:r>
        <w:t xml:space="preserve">the lower Gibbs energy, as it is presented in Fig. 2a. Anyway, the</w:t>
      </w:r>
      <w:r>
        <w:t xml:space="preserve"> </w:t>
      </w:r>
      <w:r>
        <w:t xml:space="preserve">energy barrier for the</w:t>
      </w:r>
      <w:r>
        <w:t xml:space="preserve"> </w:t>
      </w:r>
      <w:r>
        <w:t xml:space="preserve">CSi</w:t>
      </w:r>
      <w:r>
        <w:rPr>
          <w:vertAlign w:val="subscript"/>
        </w:rPr>
        <w:t xml:space="preserve">5</w:t>
      </w:r>
      <w:r>
        <w:t xml:space="preserve">H</w:t>
      </w:r>
      <w:r>
        <w:rPr>
          <w:vertAlign w:val="subscript"/>
        </w:rPr>
        <w:t xml:space="preserve">6</w:t>
      </w:r>
      <w:r>
        <w:t xml:space="preserve">N</w:t>
      </w:r>
      <w:r>
        <w:rPr>
          <w:vertAlign w:val="subscript"/>
        </w:rPr>
        <w:t xml:space="preserve">12</w:t>
      </w:r>
      <w:r>
        <w:t xml:space="preserve">O</w:t>
      </w:r>
      <w:r>
        <w:rPr>
          <w:vertAlign w:val="subscript"/>
        </w:rPr>
        <w:t xml:space="preserve">12</w:t>
      </w:r>
      <w:r>
        <w:t xml:space="preserve"> </w:t>
      </w:r>
      <w:r>
        <w:t xml:space="preserve">decomposition is about 200 kJ/mol. This value is close to the</w:t>
      </w:r>
      <w:r>
        <w:t xml:space="preserve"> </w:t>
      </w:r>
      <w:r>
        <w:t xml:space="preserve">corresponding value for the pristine CL-20.(Lin-lin and Hu 2018) Therefore,</w:t>
      </w:r>
      <w:r>
        <w:t xml:space="preserve"> </w:t>
      </w:r>
      <w:r>
        <w:t xml:space="preserve">it can be said that</w:t>
      </w:r>
      <w:r>
        <w:t xml:space="preserve"> </w:t>
      </w:r>
      <w:r>
        <w:t xml:space="preserve">CSi</w:t>
      </w:r>
      <w:r>
        <w:rPr>
          <w:vertAlign w:val="subscript"/>
        </w:rPr>
        <w:t xml:space="preserve">5</w:t>
      </w:r>
      <w:r>
        <w:t xml:space="preserve">H</w:t>
      </w:r>
      <w:r>
        <w:rPr>
          <w:vertAlign w:val="subscript"/>
        </w:rPr>
        <w:t xml:space="preserve">6</w:t>
      </w:r>
      <w:r>
        <w:t xml:space="preserve">N</w:t>
      </w:r>
      <w:r>
        <w:rPr>
          <w:vertAlign w:val="subscript"/>
        </w:rPr>
        <w:t xml:space="preserve">12</w:t>
      </w:r>
      <w:r>
        <w:t xml:space="preserve">O</w:t>
      </w:r>
      <w:r>
        <w:rPr>
          <w:vertAlign w:val="subscript"/>
        </w:rPr>
        <w:t xml:space="preserve">12</w:t>
      </w:r>
      <w:r>
        <w:t xml:space="preserve"> </w:t>
      </w:r>
      <w:r>
        <w:t xml:space="preserve">is as kinetically stable as pristine CL-20.</w:t>
      </w:r>
    </w:p>
    <w:p>
      <w:pPr>
        <w:pStyle w:val="FigureWithCaption"/>
      </w:pPr>
      <w:r>
        <w:drawing>
          <wp:inline>
            <wp:extent cx="4177492" cy="7379422"/>
            <wp:effectExtent b="0" l="0" r="0" t="0"/>
            <wp:docPr descr="Two competitive mechanisms of CSi5H6N12O12 (a) and C4Si2H6N12F12 (b) decomposition: NO2/NF2 fission versus O/F migration to Si. Black and red lines correspond to the internal energies and Gibbs energies at T = 3000 K, respectively. Optimized coordinates of stable and transition states are also available in Supplementary Materials. " title="" id="1" name="Picture"/>
            <a:graphic>
              <a:graphicData uri="http://schemas.openxmlformats.org/drawingml/2006/picture">
                <pic:pic>
                  <pic:nvPicPr>
                    <pic:cNvPr descr="figures/Figure2/Figure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73794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Two competitive mechanisms of</w:t>
      </w:r>
      <w:r>
        <w:t xml:space="preserve"> </w:t>
      </w:r>
      <w:r>
        <w:t xml:space="preserve">CSi</w:t>
      </w:r>
      <w:r>
        <w:rPr>
          <w:vertAlign w:val="subscript"/>
        </w:rPr>
        <w:t xml:space="preserve">5</w:t>
      </w:r>
      <w:r>
        <w:t xml:space="preserve">H</w:t>
      </w:r>
      <w:r>
        <w:rPr>
          <w:vertAlign w:val="subscript"/>
        </w:rPr>
        <w:t xml:space="preserve">6</w:t>
      </w:r>
      <w:r>
        <w:t xml:space="preserve">N</w:t>
      </w:r>
      <w:r>
        <w:rPr>
          <w:vertAlign w:val="subscript"/>
        </w:rPr>
        <w:t xml:space="preserve">12</w:t>
      </w:r>
      <w:r>
        <w:t xml:space="preserve">O</w:t>
      </w:r>
      <w:r>
        <w:rPr>
          <w:vertAlign w:val="subscript"/>
        </w:rPr>
        <w:t xml:space="preserve">12</w:t>
      </w:r>
      <w:r>
        <w:t xml:space="preserve"> </w:t>
      </w:r>
      <w:r>
        <w:t xml:space="preserve">(a) and</w:t>
      </w:r>
      <w:r>
        <w:t xml:space="preserve"> </w:t>
      </w:r>
      <w:r>
        <w:t xml:space="preserve">C</w:t>
      </w:r>
      <w:r>
        <w:rPr>
          <w:vertAlign w:val="subscript"/>
        </w:rPr>
        <w:t xml:space="preserve">4</w:t>
      </w:r>
      <w:r>
        <w:t xml:space="preserve">Si</w:t>
      </w:r>
      <w:r>
        <w:rPr>
          <w:vertAlign w:val="subscript"/>
        </w:rPr>
        <w:t xml:space="preserve">2</w:t>
      </w:r>
      <w:r>
        <w:t xml:space="preserve">H</w:t>
      </w:r>
      <w:r>
        <w:rPr>
          <w:vertAlign w:val="subscript"/>
        </w:rPr>
        <w:t xml:space="preserve">6</w:t>
      </w:r>
      <w:r>
        <w:t xml:space="preserve">N</w:t>
      </w:r>
      <w:r>
        <w:rPr>
          <w:vertAlign w:val="subscript"/>
        </w:rPr>
        <w:t xml:space="preserve">12</w:t>
      </w:r>
      <w:r>
        <w:t xml:space="preserve">F</w:t>
      </w:r>
      <w:r>
        <w:rPr>
          <w:vertAlign w:val="subscript"/>
        </w:rPr>
        <w:t xml:space="preserve">12</w:t>
      </w:r>
      <w:r>
        <w:t xml:space="preserve"> </w:t>
      </w:r>
      <w:r>
        <w:t xml:space="preserve">(b) decomposition: NO</w:t>
      </w:r>
      <w:r>
        <w:rPr>
          <w:vertAlign w:val="subscript"/>
        </w:rPr>
        <w:t xml:space="preserve">2</w:t>
      </w:r>
      <w:r>
        <w:t xml:space="preserve">/NF</w:t>
      </w:r>
      <w:r>
        <w:rPr>
          <w:vertAlign w:val="subscript"/>
        </w:rPr>
        <w:t xml:space="preserve">2</w:t>
      </w:r>
      <w:r>
        <w:t xml:space="preserve"> </w:t>
      </w:r>
      <w:r>
        <w:t xml:space="preserve">fission</w:t>
      </w:r>
      <w:r>
        <w:t xml:space="preserve"> </w:t>
      </w:r>
      <w:r>
        <w:t xml:space="preserve">versus O/F migration to Si. Black and red lines correspond to the</w:t>
      </w:r>
      <w:r>
        <w:t xml:space="preserve"> </w:t>
      </w:r>
      <w:r>
        <w:t xml:space="preserve">internal energies and Gibbs energies at</w:t>
      </w:r>
      <w:r>
        <w:t xml:space="preserve"> </w:t>
      </w:r>
      <w:r>
        <w:rPr>
          <w:i/>
        </w:rPr>
        <w:t xml:space="preserve">T</w:t>
      </w:r>
      <w:r>
        <w:t xml:space="preserve"> </w:t>
      </w:r>
      <w:r>
        <w:t xml:space="preserve">= 3000 K, respectively.</w:t>
      </w:r>
      <w:r>
        <w:t xml:space="preserve"> </w:t>
      </w:r>
      <w:r>
        <w:t xml:space="preserve">Optimized coordinates of stable and transition states are also available</w:t>
      </w:r>
      <w:r>
        <w:t xml:space="preserve"> </w:t>
      </w:r>
      <w:r>
        <w:t xml:space="preserve">in Supplementary Materials.</w:t>
      </w:r>
      <w:r>
        <w:t xml:space="preserve"> </w:t>
      </w:r>
    </w:p>
    <w:p>
      <w:pPr>
        <w:pStyle w:val="BodyText"/>
      </w:pPr>
      <w:r>
        <w:t xml:space="preserve">In contrast to oxygen, fluorine is able to easily migrate to the silicon</w:t>
      </w:r>
      <w:r>
        <w:t xml:space="preserve"> </w:t>
      </w:r>
      <w:r>
        <w:t xml:space="preserve">atom and to destabilize the C4Si2H6N12F12 cage, see Fig. 2b. So, the</w:t>
      </w:r>
      <w:r>
        <w:t xml:space="preserve"> </w:t>
      </w:r>
      <w:r>
        <w:t xml:space="preserve">C4Si2H6N12F12 system is much less stable. To evaluate its lifetime</w:t>
      </w:r>
      <w:r>
        <w:t xml:space="preserve"> </w:t>
      </w:r>
      <w:r>
        <w:rPr>
          <w:i/>
        </w:rPr>
        <w:t xml:space="preserve">t</w:t>
      </w:r>
      <w:r>
        <w:t xml:space="preserve"> </w:t>
      </w:r>
      <w:r>
        <w:t xml:space="preserve">before the decomposition, we adopt the Arrhenius formula</w:t>
      </w:r>
    </w:p>
    <w:p>
      <w:pPr>
        <w:pStyle w:val="BodyText"/>
      </w:pPr>
      <m:oMath>
        <m:r>
          <m:t>t</m:t>
        </m:r>
        <m:r>
          <m:t>=</m:t>
        </m:r>
        <m:d>
          <m:dPr>
            <m:begChr m:val="("/>
            <m:endChr m:val=")"/>
            <m:grow/>
          </m:dPr>
          <m:e>
            <m:f>
              <m:fPr>
                <m:type m:val="bar"/>
              </m:fPr>
              <m:num>
                <m:r>
                  <m:t>1</m:t>
                </m:r>
              </m:num>
              <m:den>
                <m:r>
                  <m:t>w</m:t>
                </m:r>
              </m:den>
            </m:f>
          </m:e>
        </m:d>
        <m:r>
          <m:rPr>
            <m:sty m:val="p"/>
          </m:rPr>
          <m:t>exp</m:t>
        </m:r>
        <m:d>
          <m:dPr>
            <m:begChr m:val="("/>
            <m:endChr m:val=")"/>
            <m:grow/>
          </m:dPr>
          <m:e>
            <m:r>
              <m:t>−</m:t>
            </m:r>
            <m:f>
              <m:fPr>
                <m:type m:val="bar"/>
              </m:fPr>
              <m:num>
                <m:sSub>
                  <m:e>
                    <m:r>
                      <m:t>E</m:t>
                    </m:r>
                  </m:e>
                  <m:sub>
                    <m:r>
                      <m:t>a</m:t>
                    </m:r>
                  </m:sub>
                </m:sSub>
              </m:num>
              <m:den>
                <m:r>
                  <m:t>k</m:t>
                </m:r>
                <m:r>
                  <m:t>T</m:t>
                </m:r>
              </m:den>
            </m:f>
          </m:e>
        </m:d>
      </m:oMath>
    </w:p>
    <w:p>
      <w:pPr>
        <w:pStyle w:val="BodyText"/>
      </w:pPr>
      <w:r>
        <w:t xml:space="preserve">where</w:t>
      </w:r>
      <w:r>
        <w:t xml:space="preserve"> </w:t>
      </w:r>
      <w:r>
        <w:rPr>
          <w:i/>
        </w:rPr>
        <w:t xml:space="preserve">w</w:t>
      </w:r>
      <w:r>
        <w:t xml:space="preserve"> </w:t>
      </w:r>
      <w:r>
        <w:t xml:space="preserve">is the frequency factor,</w:t>
      </w:r>
      <w:r>
        <w:t xml:space="preserve"> </w:t>
      </w:r>
      <w:r>
        <w:rPr>
          <w:i/>
        </w:rPr>
        <w:t xml:space="preserve">E</w:t>
      </w:r>
      <w:r>
        <w:rPr>
          <w:vertAlign w:val="subscript"/>
        </w:rPr>
        <w:t xml:space="preserve">a</w:t>
      </w:r>
      <w:r>
        <w:t xml:space="preserve"> </w:t>
      </w:r>
      <w:r>
        <w:t xml:space="preserve">is the</w:t>
      </w:r>
      <w:r>
        <w:t xml:space="preserve"> </w:t>
      </w:r>
      <w:r>
        <w:t xml:space="preserve">activation energy,</w:t>
      </w:r>
      <w:r>
        <w:t xml:space="preserve"> </w:t>
      </w:r>
      <w:r>
        <w:rPr>
          <w:i/>
        </w:rPr>
        <w:t xml:space="preserve">k</w:t>
      </w:r>
      <w:r>
        <w:t xml:space="preserve"> </w:t>
      </w:r>
      <w:r>
        <w:t xml:space="preserve">is the Boltzmann’s constant,</w:t>
      </w:r>
      <w:r>
        <w:t xml:space="preserve"> </w:t>
      </w:r>
      <w:r>
        <w:rPr>
          <w:i/>
        </w:rPr>
        <w:t xml:space="preserve">T</w:t>
      </w:r>
      <w:r>
        <w:t xml:space="preserve"> </w:t>
      </w:r>
      <w:r>
        <w:t xml:space="preserve">is the</w:t>
      </w:r>
      <w:r>
        <w:t xml:space="preserve"> </w:t>
      </w:r>
      <w:r>
        <w:t xml:space="preserve">temperature. In our evaluation, we assume the activation energy is equal</w:t>
      </w:r>
      <w:r>
        <w:t xml:space="preserve"> </w:t>
      </w:r>
      <w:r>
        <w:t xml:space="preserve">to the energy barrier (0.18 eV, see Fig. 2b). Frequency factor</w:t>
      </w:r>
      <w:r>
        <w:t xml:space="preserve"> </w:t>
      </w:r>
      <w:r>
        <w:rPr>
          <w:i/>
        </w:rPr>
        <w:t xml:space="preserve">w</w:t>
      </w:r>
      <w:r>
        <w:t xml:space="preserve"> </w:t>
      </w:r>
      <w:r>
        <w:t xml:space="preserve">can be defined from the Vineyard formula (Vineyard 1957)</w:t>
      </w:r>
    </w:p>
    <w:p>
      <w:pPr>
        <w:pStyle w:val="BodyText"/>
      </w:pPr>
      <m:oMath>
        <m:r>
          <m:t>w</m:t>
        </m:r>
        <m:r>
          <m:t>=</m:t>
        </m:r>
        <m:f>
          <m:fPr>
            <m:type m:val="bar"/>
          </m:fPr>
          <m:num>
            <m:r>
              <m:t>Π</m:t>
            </m:r>
            <m:sSub>
              <m:e>
                <m:r>
                  <m:t>w</m:t>
                </m:r>
              </m:e>
              <m:sub>
                <m:r>
                  <m:t>i</m:t>
                </m:r>
              </m:sub>
            </m:sSub>
          </m:num>
          <m:den>
            <m:r>
              <m:t>Π</m:t>
            </m:r>
            <m:r>
              <m:t>w</m:t>
            </m:r>
            <m:sSub>
              <m:e>
                <m:r>
                  <m:t>′</m:t>
                </m:r>
              </m:e>
              <m:sub>
                <m:r>
                  <m:t>i</m:t>
                </m:r>
              </m:sub>
            </m:sSub>
          </m:den>
        </m:f>
      </m:oMath>
      <w:r>
        <w:t xml:space="preserve">     .</w:t>
      </w:r>
    </w:p>
    <w:p>
      <w:pPr>
        <w:pStyle w:val="BodyText"/>
      </w:pPr>
      <w:r>
        <w:t xml:space="preserve">Here</w:t>
      </w:r>
      <w:r>
        <w:t xml:space="preserve"> </w:t>
      </w:r>
      <w:r>
        <w:rPr>
          <w:i/>
        </w:rPr>
        <w:t xml:space="preserve">ω</w:t>
      </w:r>
      <w:r>
        <w:t xml:space="preserve"> </w:t>
      </w:r>
      <w:r>
        <w:t xml:space="preserve">and</w:t>
      </w:r>
      <w:r>
        <w:t xml:space="preserve"> </w:t>
      </w:r>
      <w:r>
        <w:rPr>
          <w:i/>
        </w:rPr>
        <w:t xml:space="preserve">ω’</w:t>
      </w:r>
      <w:r>
        <w:t xml:space="preserve"> </w:t>
      </w:r>
      <w:r>
        <w:t xml:space="preserve">are the real eigenfrequencies (normal modes)</w:t>
      </w:r>
      <w:r>
        <w:t xml:space="preserve"> </w:t>
      </w:r>
      <w:r>
        <w:t xml:space="preserve">for the ground and transition states, respectively. Note that the</w:t>
      </w:r>
      <w:r>
        <w:t xml:space="preserve"> </w:t>
      </w:r>
      <w:r>
        <w:t xml:space="preserve">numerator in this formula contains an additional factor because the</w:t>
      </w:r>
      <w:r>
        <w:t xml:space="preserve"> </w:t>
      </w:r>
      <w:r>
        <w:t xml:space="preserve">transition state has one imaginary frequency, which is not taken into</w:t>
      </w:r>
      <w:r>
        <w:t xml:space="preserve"> </w:t>
      </w:r>
      <w:r>
        <w:t xml:space="preserve">account. So, we obtain</w:t>
      </w:r>
      <w:r>
        <w:t xml:space="preserve"> </w:t>
      </w:r>
      <w:r>
        <w:rPr>
          <w:i/>
        </w:rPr>
        <w:t xml:space="preserve">E</w:t>
      </w:r>
      <w:r>
        <w:rPr>
          <w:vertAlign w:val="subscript"/>
        </w:rPr>
        <w:t xml:space="preserve">a</w:t>
      </w:r>
      <w:r>
        <w:t xml:space="preserve"> </w:t>
      </w:r>
      <w:r>
        <w:t xml:space="preserve">= 0.18 eV and</w:t>
      </w:r>
      <w:r>
        <w:t xml:space="preserve"> </w:t>
      </w:r>
      <w:r>
        <w:rPr>
          <w:i/>
        </w:rPr>
        <w:t xml:space="preserve">w</w:t>
      </w:r>
      <w:r>
        <w:t xml:space="preserve"> </w:t>
      </w:r>
      <w:r>
        <w:t xml:space="preserve">= 1.93·10</w:t>
      </w:r>
      <w:r>
        <w:rPr>
          <w:vertAlign w:val="superscript"/>
        </w:rPr>
        <w:t xml:space="preserve">15</w:t>
      </w:r>
      <w:r>
        <w:t xml:space="preserve"> </w:t>
      </w:r>
      <w:r>
        <w:t xml:space="preserve">1/s. In accordance with the Arrhenius</w:t>
      </w:r>
      <w:r>
        <w:t xml:space="preserve"> </w:t>
      </w:r>
      <w:r>
        <w:t xml:space="preserve">formula,</w:t>
      </w:r>
      <w:r>
        <w:t xml:space="preserve"> </w:t>
      </w:r>
      <w:r>
        <w:rPr>
          <w:i/>
        </w:rPr>
        <w:t xml:space="preserve">t</w:t>
      </w:r>
      <w:r>
        <w:t xml:space="preserve"> </w:t>
      </w:r>
      <w:r>
        <w:t xml:space="preserve">~ 0.5 ps at</w:t>
      </w:r>
      <w:r>
        <w:t xml:space="preserve"> </w:t>
      </w:r>
      <w:r>
        <w:rPr>
          <w:i/>
        </w:rPr>
        <w:t xml:space="preserve">T</w:t>
      </w:r>
      <w:r>
        <w:t xml:space="preserve"> </w:t>
      </w:r>
      <w:r>
        <w:t xml:space="preserve">= 300 K. So,</w:t>
      </w:r>
      <w:r>
        <w:t xml:space="preserve"> </w:t>
      </w:r>
      <w:r>
        <w:t xml:space="preserve">CSi</w:t>
      </w:r>
      <w:r>
        <w:rPr>
          <w:vertAlign w:val="subscript"/>
        </w:rPr>
        <w:t xml:space="preserve">5</w:t>
      </w:r>
      <w:r>
        <w:t xml:space="preserve">H</w:t>
      </w:r>
      <w:r>
        <w:rPr>
          <w:vertAlign w:val="subscript"/>
        </w:rPr>
        <w:t xml:space="preserve">6</w:t>
      </w:r>
      <w:r>
        <w:t xml:space="preserve">N</w:t>
      </w:r>
      <w:r>
        <w:rPr>
          <w:vertAlign w:val="subscript"/>
        </w:rPr>
        <w:t xml:space="preserve">12</w:t>
      </w:r>
      <w:r>
        <w:t xml:space="preserve">O</w:t>
      </w:r>
      <w:r>
        <w:rPr>
          <w:vertAlign w:val="subscript"/>
        </w:rPr>
        <w:t xml:space="preserve">12</w:t>
      </w:r>
      <w:r>
        <w:t xml:space="preserve"> </w:t>
      </w:r>
      <w:r>
        <w:t xml:space="preserve">is unstable at room temperature and is barely suitable for practical</w:t>
      </w:r>
      <w:r>
        <w:t xml:space="preserve"> </w:t>
      </w:r>
      <w:r>
        <w:t xml:space="preserve">applications.</w:t>
      </w:r>
    </w:p>
    <w:p>
      <w:pPr>
        <w:pStyle w:val="BodyText"/>
      </w:pPr>
      <w:r>
        <w:t xml:space="preserve">We also stress the fact that the kinetic stability of any cage compound</w:t>
      </w:r>
      <w:r>
        <w:t xml:space="preserve"> </w:t>
      </w:r>
      <w:r>
        <w:t xml:space="preserve">is determined by the energy barrier preventing its decomposition rather</w:t>
      </w:r>
      <w:r>
        <w:t xml:space="preserve"> </w:t>
      </w:r>
      <w:r>
        <w:t xml:space="preserve">than the strain energy enclosed in its framework. For example,</w:t>
      </w:r>
      <w:r>
        <w:t xml:space="preserve"> </w:t>
      </w:r>
      <w:r>
        <w:t xml:space="preserve">methylcubanes demonstrate an inverse relationship between their strain</w:t>
      </w:r>
      <w:r>
        <w:t xml:space="preserve"> </w:t>
      </w:r>
      <w:r>
        <w:t xml:space="preserve">energies and kinetic stabilities.(Katin, Prudkovskiy, and Maslov 2016) Moreover, initial</w:t>
      </w:r>
      <w:r>
        <w:t xml:space="preserve"> </w:t>
      </w:r>
      <w:r>
        <w:t xml:space="preserve">processes leading to the CL-20 decomposition do not necessarily involve</w:t>
      </w:r>
      <w:r>
        <w:t xml:space="preserve"> </w:t>
      </w:r>
      <w:r>
        <w:t xml:space="preserve">any framework transformation. For these reasons, cage strain energy is</w:t>
      </w:r>
      <w:r>
        <w:t xml:space="preserve"> </w:t>
      </w:r>
      <w:r>
        <w:t xml:space="preserve">not a suitable measure of the stability of the CL-20 derivatives, as it</w:t>
      </w:r>
      <w:r>
        <w:t xml:space="preserve"> </w:t>
      </w:r>
      <w:r>
        <w:t xml:space="preserve">is discussed in Ref. (Tan et al. 2014). Although the CL-20 derivatives</w:t>
      </w:r>
      <w:r>
        <w:t xml:space="preserve"> </w:t>
      </w:r>
      <w:r>
        <w:t xml:space="preserve">containing silicon possess higher strain energies,(Tan et al. 2014)</w:t>
      </w:r>
      <w:r>
        <w:t xml:space="preserve"> </w:t>
      </w:r>
      <w:r>
        <w:t xml:space="preserve">they are not necessarily kinetically unstable.</w:t>
      </w:r>
    </w:p>
    <w:p>
      <w:pPr>
        <w:pStyle w:val="Heading2"/>
      </w:pPr>
      <w:bookmarkStart w:id="28" w:name="dimers-of-the-cl-20-derivatives"/>
      <w:bookmarkEnd w:id="28"/>
      <w:r>
        <w:t xml:space="preserve">Dimers of the CL-20</w:t>
      </w:r>
      <w:r>
        <w:t xml:space="preserve"> </w:t>
      </w:r>
      <w:r>
        <w:t xml:space="preserve">derivatives</w:t>
      </w:r>
    </w:p>
    <w:p>
      <w:pPr>
        <w:pStyle w:val="FirstParagraph"/>
      </w:pPr>
      <w:r>
        <w:t xml:space="preserve">According to the previous studies,(Degtyarenko, Katin, and Maslov 2014; Katin and Maslov 2017) CL-20 molecules can</w:t>
      </w:r>
      <w:r>
        <w:t xml:space="preserve"> </w:t>
      </w:r>
      <w:r>
        <w:t xml:space="preserve">form covalent dimers via the methylene molecular bridges (see Fig. 3a).</w:t>
      </w:r>
      <w:r>
        <w:t xml:space="preserve"> </w:t>
      </w:r>
      <w:r>
        <w:t xml:space="preserve">Similar dimers can be constructed from the CL-20 derivatives. Dimers of</w:t>
      </w:r>
      <w:r>
        <w:t xml:space="preserve"> </w:t>
      </w:r>
      <w:r>
        <w:t xml:space="preserve">CSi</w:t>
      </w:r>
      <w:r>
        <w:rPr>
          <w:vertAlign w:val="subscript"/>
        </w:rPr>
        <w:t xml:space="preserve">5</w:t>
      </w:r>
      <w:r>
        <w:t xml:space="preserve">H</w:t>
      </w:r>
      <w:r>
        <w:rPr>
          <w:vertAlign w:val="subscript"/>
        </w:rPr>
        <w:t xml:space="preserve">6</w:t>
      </w:r>
      <w:r>
        <w:t xml:space="preserve">N</w:t>
      </w:r>
      <w:r>
        <w:rPr>
          <w:vertAlign w:val="subscript"/>
        </w:rPr>
        <w:t xml:space="preserve">12</w:t>
      </w:r>
      <w:r>
        <w:t xml:space="preserve">O</w:t>
      </w:r>
      <w:r>
        <w:rPr>
          <w:vertAlign w:val="subscript"/>
        </w:rPr>
        <w:t xml:space="preserve">12</w:t>
      </w:r>
      <w:r>
        <w:t xml:space="preserve"> </w:t>
      </w:r>
      <w:r>
        <w:t xml:space="preserve">and</w:t>
      </w:r>
      <w:r>
        <w:t xml:space="preserve"> </w:t>
      </w:r>
      <w:r>
        <w:t xml:space="preserve">C</w:t>
      </w:r>
      <w:r>
        <w:rPr>
          <w:vertAlign w:val="subscript"/>
        </w:rPr>
        <w:t xml:space="preserve">4</w:t>
      </w:r>
      <w:r>
        <w:t xml:space="preserve">Si</w:t>
      </w:r>
      <w:r>
        <w:rPr>
          <w:vertAlign w:val="subscript"/>
        </w:rPr>
        <w:t xml:space="preserve">2</w:t>
      </w:r>
      <w:r>
        <w:t xml:space="preserve">H</w:t>
      </w:r>
      <w:r>
        <w:rPr>
          <w:vertAlign w:val="subscript"/>
        </w:rPr>
        <w:t xml:space="preserve">6</w:t>
      </w:r>
      <w:r>
        <w:t xml:space="preserve">N</w:t>
      </w:r>
      <w:r>
        <w:rPr>
          <w:vertAlign w:val="subscript"/>
        </w:rPr>
        <w:t xml:space="preserve">12</w:t>
      </w:r>
      <w:r>
        <w:t xml:space="preserve">F</w:t>
      </w:r>
      <w:r>
        <w:rPr>
          <w:vertAlign w:val="subscript"/>
        </w:rPr>
        <w:t xml:space="preserve">12</w:t>
      </w:r>
      <w:r>
        <w:t xml:space="preserve"> </w:t>
      </w:r>
      <w:r>
        <w:t xml:space="preserve">have three and eight possible isomers, respectively. These isomers</w:t>
      </w:r>
      <w:r>
        <w:t xml:space="preserve"> </w:t>
      </w:r>
      <w:r>
        <w:t xml:space="preserve">differ from each other by the relative positions of silicon atoms.</w:t>
      </w:r>
      <w:r>
        <w:t xml:space="preserve"> </w:t>
      </w:r>
      <w:r>
        <w:t xml:space="preserve">Structures of all isomers as well as their relative energies are</w:t>
      </w:r>
      <w:r>
        <w:t xml:space="preserve"> </w:t>
      </w:r>
      <w:r>
        <w:t xml:space="preserve">presented in Fig. 3. One can see that the isomers in which carbon atoms</w:t>
      </w:r>
      <w:r>
        <w:t xml:space="preserve"> </w:t>
      </w:r>
      <w:r>
        <w:t xml:space="preserve">are located far from the methylene bridges possess lower energies. This</w:t>
      </w:r>
      <w:r>
        <w:t xml:space="preserve"> </w:t>
      </w:r>
      <w:r>
        <w:t xml:space="preserve">rule holds true for all dimers of both</w:t>
      </w:r>
      <w:r>
        <w:t xml:space="preserve"> </w:t>
      </w:r>
      <w:r>
        <w:t xml:space="preserve">CSi</w:t>
      </w:r>
      <w:r>
        <w:rPr>
          <w:vertAlign w:val="subscript"/>
        </w:rPr>
        <w:t xml:space="preserve">5</w:t>
      </w:r>
      <w:r>
        <w:t xml:space="preserve">H</w:t>
      </w:r>
      <w:r>
        <w:rPr>
          <w:vertAlign w:val="subscript"/>
        </w:rPr>
        <w:t xml:space="preserve">6</w:t>
      </w:r>
      <w:r>
        <w:t xml:space="preserve">N</w:t>
      </w:r>
      <w:r>
        <w:rPr>
          <w:vertAlign w:val="subscript"/>
        </w:rPr>
        <w:t xml:space="preserve">12</w:t>
      </w:r>
      <w:r>
        <w:t xml:space="preserve">O</w:t>
      </w:r>
      <w:r>
        <w:rPr>
          <w:vertAlign w:val="subscript"/>
        </w:rPr>
        <w:t xml:space="preserve">12</w:t>
      </w:r>
      <w:r>
        <w:t xml:space="preserve"> </w:t>
      </w:r>
      <w:r>
        <w:t xml:space="preserve">and</w:t>
      </w:r>
      <w:r>
        <w:t xml:space="preserve"> </w:t>
      </w:r>
      <w:r>
        <w:t xml:space="preserve">C</w:t>
      </w:r>
      <w:r>
        <w:rPr>
          <w:vertAlign w:val="subscript"/>
        </w:rPr>
        <w:t xml:space="preserve">4</w:t>
      </w:r>
      <w:r>
        <w:t xml:space="preserve">Si</w:t>
      </w:r>
      <w:r>
        <w:rPr>
          <w:vertAlign w:val="subscript"/>
        </w:rPr>
        <w:t xml:space="preserve">2</w:t>
      </w:r>
      <w:r>
        <w:t xml:space="preserve">H</w:t>
      </w:r>
      <w:r>
        <w:rPr>
          <w:vertAlign w:val="subscript"/>
        </w:rPr>
        <w:t xml:space="preserve">6</w:t>
      </w:r>
      <w:r>
        <w:t xml:space="preserve">N</w:t>
      </w:r>
      <w:r>
        <w:rPr>
          <w:vertAlign w:val="subscript"/>
        </w:rPr>
        <w:t xml:space="preserve">12</w:t>
      </w:r>
      <w:r>
        <w:t xml:space="preserve">F</w:t>
      </w:r>
      <w:r>
        <w:rPr>
          <w:vertAlign w:val="subscript"/>
        </w:rPr>
        <w:t xml:space="preserve">12</w:t>
      </w:r>
      <w:r>
        <w:t xml:space="preserve"> </w:t>
      </w:r>
      <w:r>
        <w:t xml:space="preserve">systems. So, the presence of silicon close to the methylene bridges</w:t>
      </w:r>
      <w:r>
        <w:t xml:space="preserve"> </w:t>
      </w:r>
      <w:r>
        <w:t xml:space="preserve">promotes the dimers formation. Unfavorable location of carbon atoms</w:t>
      </w:r>
      <w:r>
        <w:t xml:space="preserve"> </w:t>
      </w:r>
      <w:r>
        <w:t xml:space="preserve">close to the methylene bridges results in increasing of internal</w:t>
      </w:r>
      <w:r>
        <w:t xml:space="preserve"> </w:t>
      </w:r>
      <w:r>
        <w:t xml:space="preserve">energies by at least ~0.14 eV and ~0.32</w:t>
      </w:r>
      <w:r>
        <w:t xml:space="preserve"> </w:t>
      </w:r>
      <w:r>
        <w:t xml:space="preserve">eV for the dimers of</w:t>
      </w:r>
      <w:r>
        <w:t xml:space="preserve"> </w:t>
      </w:r>
      <w:r>
        <w:t xml:space="preserve">CSi</w:t>
      </w:r>
      <w:r>
        <w:rPr>
          <w:vertAlign w:val="subscript"/>
        </w:rPr>
        <w:t xml:space="preserve">5</w:t>
      </w:r>
      <w:r>
        <w:t xml:space="preserve">H</w:t>
      </w:r>
      <w:r>
        <w:rPr>
          <w:vertAlign w:val="subscript"/>
        </w:rPr>
        <w:t xml:space="preserve">6</w:t>
      </w:r>
      <w:r>
        <w:t xml:space="preserve">N</w:t>
      </w:r>
      <w:r>
        <w:rPr>
          <w:vertAlign w:val="subscript"/>
        </w:rPr>
        <w:t xml:space="preserve">12</w:t>
      </w:r>
      <w:r>
        <w:t xml:space="preserve">O</w:t>
      </w:r>
      <w:r>
        <w:rPr>
          <w:vertAlign w:val="subscript"/>
        </w:rPr>
        <w:t xml:space="preserve">12</w:t>
      </w:r>
      <w:r>
        <w:t xml:space="preserve"> </w:t>
      </w:r>
      <w:r>
        <w:t xml:space="preserve">and</w:t>
      </w:r>
      <w:r>
        <w:t xml:space="preserve"> </w:t>
      </w:r>
      <w:r>
        <w:t xml:space="preserve">C</w:t>
      </w:r>
      <w:r>
        <w:rPr>
          <w:vertAlign w:val="subscript"/>
        </w:rPr>
        <w:t xml:space="preserve">4</w:t>
      </w:r>
      <w:r>
        <w:t xml:space="preserve">Si</w:t>
      </w:r>
      <w:r>
        <w:rPr>
          <w:vertAlign w:val="subscript"/>
        </w:rPr>
        <w:t xml:space="preserve">2</w:t>
      </w:r>
      <w:r>
        <w:t xml:space="preserve">H</w:t>
      </w:r>
      <w:r>
        <w:rPr>
          <w:vertAlign w:val="subscript"/>
        </w:rPr>
        <w:t xml:space="preserve">6</w:t>
      </w:r>
      <w:r>
        <w:t xml:space="preserve">N</w:t>
      </w:r>
      <w:r>
        <w:rPr>
          <w:vertAlign w:val="subscript"/>
        </w:rPr>
        <w:t xml:space="preserve">12</w:t>
      </w:r>
      <w:r>
        <w:t xml:space="preserve">F</w:t>
      </w:r>
      <w:r>
        <w:rPr>
          <w:vertAlign w:val="subscript"/>
        </w:rPr>
        <w:t xml:space="preserve">12</w:t>
      </w:r>
      <w:r>
        <w:t xml:space="preserve">,</w:t>
      </w:r>
      <w:r>
        <w:t xml:space="preserve"> </w:t>
      </w:r>
      <w:r>
        <w:t xml:space="preserve">respectively. These values are much higher than the typical thermal</w:t>
      </w:r>
      <w:r>
        <w:t xml:space="preserve"> </w:t>
      </w:r>
      <w:r>
        <w:t xml:space="preserve">energies </w:t>
      </w:r>
      <w:r>
        <w:rPr>
          <w:i/>
        </w:rPr>
        <w:t xml:space="preserve">kT</w:t>
      </w:r>
      <w:r>
        <w:t xml:space="preserve"> </w:t>
      </w:r>
      <w:r>
        <w:t xml:space="preserve">(even at high temperature of 1000 K </w:t>
      </w:r>
      <w:r>
        <w:rPr>
          <w:i/>
        </w:rPr>
        <w:t xml:space="preserve">kT</w:t>
      </w:r>
      <w:r>
        <w:t xml:space="preserve"> </w:t>
      </w:r>
      <w:r>
        <w:t xml:space="preserve">~ 86 meV). So, the formation of unfavorable dimers is</w:t>
      </w:r>
      <w:r>
        <w:t xml:space="preserve"> </w:t>
      </w:r>
      <w:r>
        <w:t xml:space="preserve">improbable.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4177492" cy="3440468"/>
            <wp:effectExtent b="0" l="0" r="0" t="0"/>
            <wp:docPr descr="Covalent dimers of CL-20 (a), CSi5H6N12O12 (b) – (d) and C4Si2H6N12F12 (e) – (l). The lowest energy dimers of CL-20, CSi5H6N12O12, and C4Si2H6N12F12 are labeled as D1-(1), D2-(1), and D3-(1), respectively. Energy differences between every dimer and the corresponding low-energy dimer are presented in eV. Optimized coordinates of these compounds are also available in Supplementary Materials. " title="" id="1" name="Picture"/>
            <a:graphic>
              <a:graphicData uri="http://schemas.openxmlformats.org/drawingml/2006/picture">
                <pic:pic>
                  <pic:nvPicPr>
                    <pic:cNvPr descr="figures/Figure3/Figure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34404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Covalent dimers of CL-20 (a),</w:t>
      </w:r>
      <w:r>
        <w:t xml:space="preserve"> </w:t>
      </w:r>
      <w:r>
        <w:t xml:space="preserve">CSi</w:t>
      </w:r>
      <w:r>
        <w:rPr>
          <w:vertAlign w:val="subscript"/>
        </w:rPr>
        <w:t xml:space="preserve">5</w:t>
      </w:r>
      <w:r>
        <w:t xml:space="preserve">H</w:t>
      </w:r>
      <w:r>
        <w:rPr>
          <w:vertAlign w:val="subscript"/>
        </w:rPr>
        <w:t xml:space="preserve">6</w:t>
      </w:r>
      <w:r>
        <w:t xml:space="preserve">N</w:t>
      </w:r>
      <w:r>
        <w:rPr>
          <w:vertAlign w:val="subscript"/>
        </w:rPr>
        <w:t xml:space="preserve">12</w:t>
      </w:r>
      <w:r>
        <w:t xml:space="preserve">O</w:t>
      </w:r>
      <w:r>
        <w:rPr>
          <w:vertAlign w:val="subscript"/>
        </w:rPr>
        <w:t xml:space="preserve">12</w:t>
      </w:r>
      <w:r>
        <w:t xml:space="preserve"> </w:t>
      </w:r>
      <w:r>
        <w:t xml:space="preserve">(b) – (d) and</w:t>
      </w:r>
      <w:r>
        <w:t xml:space="preserve"> </w:t>
      </w:r>
      <w:r>
        <w:t xml:space="preserve">C</w:t>
      </w:r>
      <w:r>
        <w:rPr>
          <w:vertAlign w:val="subscript"/>
        </w:rPr>
        <w:t xml:space="preserve">4</w:t>
      </w:r>
      <w:r>
        <w:t xml:space="preserve">Si</w:t>
      </w:r>
      <w:r>
        <w:rPr>
          <w:vertAlign w:val="subscript"/>
        </w:rPr>
        <w:t xml:space="preserve">2</w:t>
      </w:r>
      <w:r>
        <w:t xml:space="preserve">H</w:t>
      </w:r>
      <w:r>
        <w:rPr>
          <w:vertAlign w:val="subscript"/>
        </w:rPr>
        <w:t xml:space="preserve">6</w:t>
      </w:r>
      <w:r>
        <w:t xml:space="preserve">N</w:t>
      </w:r>
      <w:r>
        <w:rPr>
          <w:vertAlign w:val="subscript"/>
        </w:rPr>
        <w:t xml:space="preserve">12</w:t>
      </w:r>
      <w:r>
        <w:t xml:space="preserve">F</w:t>
      </w:r>
      <w:r>
        <w:rPr>
          <w:vertAlign w:val="subscript"/>
        </w:rPr>
        <w:t xml:space="preserve">12</w:t>
      </w:r>
      <w:r>
        <w:t xml:space="preserve"> </w:t>
      </w:r>
      <w:r>
        <w:t xml:space="preserve">(e) – (l). The lowest energy dimers of CL-20,</w:t>
      </w:r>
      <w:r>
        <w:t xml:space="preserve"> </w:t>
      </w:r>
      <w:r>
        <w:t xml:space="preserve">CSi</w:t>
      </w:r>
      <w:r>
        <w:rPr>
          <w:vertAlign w:val="subscript"/>
        </w:rPr>
        <w:t xml:space="preserve">5</w:t>
      </w:r>
      <w:r>
        <w:t xml:space="preserve">H</w:t>
      </w:r>
      <w:r>
        <w:rPr>
          <w:vertAlign w:val="subscript"/>
        </w:rPr>
        <w:t xml:space="preserve">6</w:t>
      </w:r>
      <w:r>
        <w:t xml:space="preserve">N</w:t>
      </w:r>
      <w:r>
        <w:rPr>
          <w:vertAlign w:val="subscript"/>
        </w:rPr>
        <w:t xml:space="preserve">12</w:t>
      </w:r>
      <w:r>
        <w:t xml:space="preserve">O</w:t>
      </w:r>
      <w:r>
        <w:rPr>
          <w:vertAlign w:val="subscript"/>
        </w:rPr>
        <w:t xml:space="preserve">12</w:t>
      </w:r>
      <w:r>
        <w:t xml:space="preserve">,</w:t>
      </w:r>
      <w:r>
        <w:t xml:space="preserve"> </w:t>
      </w:r>
      <w:r>
        <w:t xml:space="preserve">and</w:t>
      </w:r>
      <w:r>
        <w:t xml:space="preserve"> </w:t>
      </w:r>
      <w:r>
        <w:t xml:space="preserve">C</w:t>
      </w:r>
      <w:r>
        <w:rPr>
          <w:vertAlign w:val="subscript"/>
        </w:rPr>
        <w:t xml:space="preserve">4</w:t>
      </w:r>
      <w:r>
        <w:t xml:space="preserve">Si</w:t>
      </w:r>
      <w:r>
        <w:rPr>
          <w:vertAlign w:val="subscript"/>
        </w:rPr>
        <w:t xml:space="preserve">2</w:t>
      </w:r>
      <w:r>
        <w:t xml:space="preserve">H</w:t>
      </w:r>
      <w:r>
        <w:rPr>
          <w:vertAlign w:val="subscript"/>
        </w:rPr>
        <w:t xml:space="preserve">6</w:t>
      </w:r>
      <w:r>
        <w:t xml:space="preserve">N</w:t>
      </w:r>
      <w:r>
        <w:rPr>
          <w:vertAlign w:val="subscript"/>
        </w:rPr>
        <w:t xml:space="preserve">12</w:t>
      </w:r>
      <w:r>
        <w:t xml:space="preserve">F</w:t>
      </w:r>
      <w:r>
        <w:rPr>
          <w:vertAlign w:val="subscript"/>
        </w:rPr>
        <w:t xml:space="preserve">12</w:t>
      </w:r>
      <w:r>
        <w:t xml:space="preserve"> </w:t>
      </w:r>
      <w:r>
        <w:t xml:space="preserve">are labeled as D1-(1), D2-(1), and D3-(1), respectively. Energy</w:t>
      </w:r>
      <w:r>
        <w:t xml:space="preserve"> </w:t>
      </w:r>
      <w:r>
        <w:t xml:space="preserve">differences between every dimer and the corresponding low-energy dimer</w:t>
      </w:r>
      <w:r>
        <w:t xml:space="preserve"> </w:t>
      </w:r>
      <w:r>
        <w:t xml:space="preserve">are presented in eV. Optimized coordinates of these compounds are also</w:t>
      </w:r>
      <w:r>
        <w:t xml:space="preserve"> </w:t>
      </w:r>
      <w:r>
        <w:t xml:space="preserve">available in Supplementary Materials.</w:t>
      </w:r>
      <w:r>
        <w:t xml:space="preserve"> </w:t>
      </w:r>
    </w:p>
    <w:p>
      <w:pPr>
        <w:pStyle w:val="BodyText"/>
      </w:pPr>
      <w:r>
        <w:t xml:space="preserve">Calculated HOMO and LUMO energies, as well as the quantum descriptors of</w:t>
      </w:r>
      <w:r>
        <w:t xml:space="preserve"> </w:t>
      </w:r>
      <w:r>
        <w:t xml:space="preserve">reactivity for considered systems, are presented in Table 1.</w:t>
      </w:r>
    </w:p>
    <w:p>
      <w:pPr>
        <w:pStyle w:val="BodyText"/>
      </w:pPr>
      <w:r>
        <w:br w:type="textWrapping"/>
      </w:r>
    </w:p>
    <w:p>
      <w:pPr>
        <w:pStyle w:val="TableCaption"/>
      </w:pPr>
      <w:r>
        <w:t xml:space="preserve">. Electronic properties and descriptors of reactivity for CL-20</w:t>
      </w:r>
      <w:r>
        <w:t xml:space="preserve"> </w:t>
      </w:r>
      <w:r>
        <w:t xml:space="preserve">derivatives and their dimers. HOMO energy </w:t>
      </w:r>
      <w:r>
        <w:rPr>
          <w:i/>
        </w:rPr>
        <w:t xml:space="preserve">ε</w:t>
      </w:r>
      <w:r>
        <w:t xml:space="preserve">H (eV), LUMO</w:t>
      </w:r>
      <w:r>
        <w:t xml:space="preserve"> </w:t>
      </w:r>
      <w:r>
        <w:t xml:space="preserve">energy </w:t>
      </w:r>
      <w:r>
        <w:rPr>
          <w:i/>
        </w:rPr>
        <w:t xml:space="preserve">ε</w:t>
      </w:r>
      <w:r>
        <w:rPr>
          <w:vertAlign w:val="subscript"/>
        </w:rPr>
        <w:t xml:space="preserve">L</w:t>
      </w:r>
      <w:r>
        <w:t xml:space="preserve"> </w:t>
      </w:r>
      <w:r>
        <w:t xml:space="preserve">(eV), HOMO-LUMO gap </w:t>
      </w:r>
      <w:r>
        <w:rPr>
          <w:i/>
        </w:rPr>
        <w:t xml:space="preserve">Δ</w:t>
      </w:r>
      <w:r>
        <w:t xml:space="preserve"> </w:t>
      </w:r>
      <w:r>
        <w:t xml:space="preserve">= </w:t>
      </w:r>
      <w:r>
        <w:rPr>
          <w:i/>
        </w:rPr>
        <w:t xml:space="preserve">ε</w:t>
      </w:r>
      <w:r>
        <w:rPr>
          <w:vertAlign w:val="subscript"/>
        </w:rPr>
        <w:t xml:space="preserve">H</w:t>
      </w:r>
      <w:r>
        <w:t xml:space="preserve"> </w:t>
      </w:r>
      <w:r>
        <w:t xml:space="preserve">– </w:t>
      </w:r>
      <w:r>
        <w:rPr>
          <w:i/>
        </w:rPr>
        <w:t xml:space="preserve">ε</w:t>
      </w:r>
      <w:r>
        <w:rPr>
          <w:vertAlign w:val="subscript"/>
        </w:rPr>
        <w:t xml:space="preserve">L</w:t>
      </w:r>
      <w:r>
        <w:t xml:space="preserve"> </w:t>
      </w:r>
      <w:r>
        <w:t xml:space="preserve">(eV), chemical</w:t>
      </w:r>
      <w:r>
        <w:t xml:space="preserve"> </w:t>
      </w:r>
      <w:r>
        <w:t xml:space="preserve">potential </w:t>
      </w:r>
      <w:r>
        <w:rPr>
          <w:i/>
        </w:rPr>
        <w:t xml:space="preserve">μ</w:t>
      </w:r>
      <w:r>
        <w:t xml:space="preserve"> </w:t>
      </w:r>
      <w:r>
        <w:t xml:space="preserve">=</w:t>
      </w:r>
      <w:r>
        <w:t xml:space="preserve"> </w:t>
      </w:r>
      <w:r>
        <w:t xml:space="preserve">(</w:t>
      </w:r>
      <w:r>
        <w:rPr>
          <w:i/>
        </w:rPr>
        <w:t xml:space="preserve">ε</w:t>
      </w:r>
      <w:r>
        <w:rPr>
          <w:vertAlign w:val="subscript"/>
        </w:rPr>
        <w:t xml:space="preserve">H</w:t>
      </w:r>
      <w:r>
        <w:t xml:space="preserve">+ </w:t>
      </w:r>
      <w:r>
        <w:rPr>
          <w:i/>
        </w:rPr>
        <w:t xml:space="preserve">ε</w:t>
      </w:r>
      <w:r>
        <w:rPr>
          <w:vertAlign w:val="subscript"/>
        </w:rPr>
        <w:t xml:space="preserve">L</w:t>
      </w:r>
      <w:r>
        <w:t xml:space="preserve">)/2 (eV), chemical</w:t>
      </w:r>
      <w:r>
        <w:t xml:space="preserve"> </w:t>
      </w:r>
      <w:r>
        <w:t xml:space="preserve">hardness </w:t>
      </w:r>
      <w:r>
        <w:rPr>
          <w:i/>
        </w:rPr>
        <w:t xml:space="preserve">η</w:t>
      </w:r>
      <w:r>
        <w:t xml:space="preserve"> </w:t>
      </w:r>
      <w:r>
        <w:t xml:space="preserve">= </w:t>
      </w:r>
      <w:r>
        <w:rPr>
          <w:i/>
        </w:rPr>
        <w:t xml:space="preserve">Δ</w:t>
      </w:r>
      <w:r>
        <w:t xml:space="preserve">/2 (eV) and softness </w:t>
      </w:r>
      <w:r>
        <w:rPr>
          <w:i/>
        </w:rPr>
        <w:t xml:space="preserve">S</w:t>
      </w:r>
      <w:r>
        <w:t xml:space="preserve"> </w:t>
      </w:r>
      <w:r>
        <w:t xml:space="preserve">=</w:t>
      </w:r>
      <w:r>
        <w:t xml:space="preserve"> </w:t>
      </w:r>
      <w:r>
        <w:t xml:space="preserve">1/(2</w:t>
      </w:r>
      <w:r>
        <w:rPr>
          <w:i/>
        </w:rPr>
        <w:t xml:space="preserve">η</w:t>
      </w:r>
      <w:r>
        <w:t xml:space="preserve">) (eV</w:t>
      </w:r>
      <w:r>
        <w:rPr>
          <w:vertAlign w:val="superscript"/>
        </w:rPr>
        <w:t xml:space="preserve">–1</w:t>
      </w:r>
      <w:r>
        <w:t xml:space="preserve">) as well as</w:t>
      </w:r>
      <w:r>
        <w:t xml:space="preserve"> </w:t>
      </w:r>
      <w:r>
        <w:t xml:space="preserve">electrophilicity </w:t>
      </w:r>
      <w:r>
        <w:rPr>
          <w:i/>
        </w:rPr>
        <w:t xml:space="preserve">ω</w:t>
      </w:r>
      <w:r>
        <w:t xml:space="preserve"> </w:t>
      </w:r>
      <w:r>
        <w:t xml:space="preserve">= </w:t>
      </w:r>
      <w:r>
        <w:rPr>
          <w:i/>
        </w:rPr>
        <w:t xml:space="preserve">μ</w:t>
      </w:r>
      <w:r>
        <w:rPr>
          <w:vertAlign w:val="superscript"/>
        </w:rPr>
        <w:t xml:space="preserve">2</w:t>
      </w:r>
      <w:r>
        <w:t xml:space="preserve">/(2</w:t>
      </w:r>
      <w:r>
        <w:rPr>
          <w:i/>
        </w:rPr>
        <w:t xml:space="preserve">η</w:t>
      </w:r>
      <w:r>
        <w:t xml:space="preserve">) are</w:t>
      </w:r>
      <w:r>
        <w:t xml:space="preserve"> </w:t>
      </w:r>
      <w:r>
        <w:t xml:space="preserve">presented for every compound (see Ref. (Gimaldinova, Maslov, and Katin 2018)  and</w:t>
      </w:r>
      <w:r>
        <w:t xml:space="preserve"> </w:t>
      </w:r>
      <w:r>
        <w:t xml:space="preserve">references wherein for the information about chemical descriptors).</w:t>
      </w:r>
      <w:r>
        <w:t xml:space="preserve"> </w:t>
      </w:r>
      <w:r>
        <w:t xml:space="preserve">Values are calculated using the 6-311G++(2d,2p) basis set, whereas</w:t>
      </w:r>
      <w:r>
        <w:t xml:space="preserve"> </w:t>
      </w:r>
      <w:r>
        <w:t xml:space="preserve">values in parenthesis are calculated using the smaller 6-311G(d,p) basis</w:t>
      </w:r>
      <w:r>
        <w:t xml:space="preserve"> </w:t>
      </w:r>
      <w:r>
        <w:t xml:space="preserve">set. .</w:t>
      </w:r>
      <w:r>
        <w:t xml:space="preserve"> </w:t>
      </w:r>
    </w:p>
    <w:tbl>
      <w:tblPr>
        <w:tblStyle w:val="TableNormal"/>
        <w:tblW w:type="pct" w:w="0.0"/>
        <w:tblLook/>
        <w:tblCaption w:val=". Electronic properties and descriptors of reactivity for CL-20 derivatives and their dimers. HOMO energy εH (eV), LUMO energy εL (eV), HOMO-LUMO gap Δ = εH – εL (eV), chemical potential μ = (εH+ εL)/2 (eV), chemical hardness η = Δ/2 (eV) and softness S = 1/(2η) (eV–1) as well as electrophilicity ω = μ2/(2η) are presented for every compound (see Ref. (Gimaldinova, Maslov, and Katin 2018)  and references wherein for the information about chemical descriptors). Values are calculated using the 6-311G++(2d,2p) basis set, whereas values in parenthesis are calculated using the smaller 6-311G(d,p) basis set. . "/>
      </w:tblPr>
      <w:tblGrid/>
      <w:tr>
        <w:tc>
          <w:p>
            <w:pPr>
              <w:pStyle w:val="Compact"/>
              <w:jc w:val="center"/>
            </w:pPr>
            <w:r>
              <w:t xml:space="preserve">Compound</w:t>
            </w:r>
          </w:p>
        </w:tc>
        <w:tc>
          <w:p>
            <w:pPr>
              <w:pStyle w:val="Compact"/>
              <w:jc w:val="center"/>
            </w:pPr>
            <w:r>
              <w:t xml:space="preserve">ε</w:t>
            </w:r>
            <w:r>
              <w:rPr>
                <w:vertAlign w:val="subscript"/>
              </w:rPr>
              <w:t xml:space="preserve">H</w:t>
            </w:r>
          </w:p>
        </w:tc>
        <w:tc>
          <w:p>
            <w:pPr>
              <w:pStyle w:val="Compact"/>
              <w:jc w:val="center"/>
            </w:pPr>
            <w:r>
              <w:t xml:space="preserve">ε</w:t>
            </w:r>
            <w:r>
              <w:rPr>
                <w:vertAlign w:val="subscript"/>
              </w:rPr>
              <w:t xml:space="preserve">L</w:t>
            </w:r>
          </w:p>
        </w:tc>
        <w:tc>
          <w:p>
            <w:pPr>
              <w:pStyle w:val="Compact"/>
              <w:jc w:val="center"/>
            </w:pPr>
            <w:r>
              <w:t xml:space="preserve">Δ</w:t>
            </w:r>
          </w:p>
        </w:tc>
        <w:tc>
          <w:p>
            <w:pPr>
              <w:pStyle w:val="Compact"/>
              <w:jc w:val="center"/>
            </w:pPr>
            <w:r>
              <w:t xml:space="preserve">μ</w:t>
            </w:r>
          </w:p>
        </w:tc>
        <w:tc>
          <w:p>
            <w:pPr>
              <w:pStyle w:val="Compact"/>
              <w:jc w:val="center"/>
            </w:pPr>
            <w:r>
              <w:t xml:space="preserve">η</w:t>
            </w:r>
          </w:p>
        </w:tc>
        <w:tc>
          <w:p>
            <w:pPr>
              <w:pStyle w:val="Compact"/>
              <w:jc w:val="center"/>
            </w:pPr>
            <w:r>
              <w:t xml:space="preserve">S</w:t>
            </w:r>
          </w:p>
        </w:tc>
        <w:tc>
          <w:p>
            <w:pPr>
              <w:pStyle w:val="Compact"/>
              <w:jc w:val="center"/>
            </w:pPr>
            <w:r>
              <w:t xml:space="preserve">ω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Monomers</w:t>
            </w: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</w:tr>
      <w:tr>
        <w:tc>
          <w:p>
            <w:pPr>
              <w:pStyle w:val="Compact"/>
              <w:jc w:val="center"/>
            </w:pPr>
            <w:r>
              <w:t xml:space="preserve">CL-20</w:t>
            </w:r>
          </w:p>
        </w:tc>
        <w:tc>
          <w:p>
            <w:pPr>
              <w:pStyle w:val="Compact"/>
              <w:jc w:val="center"/>
            </w:pPr>
            <w:r>
              <w:t xml:space="preserve">-8.99(-8.81)</w:t>
            </w:r>
          </w:p>
        </w:tc>
        <w:tc>
          <w:p>
            <w:pPr>
              <w:pStyle w:val="Compact"/>
              <w:jc w:val="center"/>
            </w:pPr>
            <w:r>
              <w:t xml:space="preserve">-3.39(-3.11)</w:t>
            </w:r>
          </w:p>
        </w:tc>
        <w:tc>
          <w:p>
            <w:pPr>
              <w:pStyle w:val="Compact"/>
              <w:jc w:val="center"/>
            </w:pPr>
            <w:r>
              <w:t xml:space="preserve">5.61(5.69)</w:t>
            </w:r>
          </w:p>
        </w:tc>
        <w:tc>
          <w:p>
            <w:pPr>
              <w:pStyle w:val="Compact"/>
              <w:jc w:val="center"/>
            </w:pPr>
            <w:r>
              <w:t xml:space="preserve">-6.19(-5.96)</w:t>
            </w:r>
          </w:p>
        </w:tc>
        <w:tc>
          <w:p>
            <w:pPr>
              <w:pStyle w:val="Compact"/>
              <w:jc w:val="center"/>
            </w:pPr>
            <w:r>
              <w:t xml:space="preserve">2.8(2.85)</w:t>
            </w:r>
          </w:p>
        </w:tc>
        <w:tc>
          <w:p>
            <w:pPr>
              <w:pStyle w:val="Compact"/>
              <w:jc w:val="center"/>
            </w:pPr>
            <w:r>
              <w:t xml:space="preserve">0.18(0.18)</w:t>
            </w:r>
          </w:p>
        </w:tc>
        <w:tc>
          <w:p>
            <w:pPr>
              <w:pStyle w:val="Compact"/>
              <w:jc w:val="center"/>
            </w:pPr>
            <w:r>
              <w:t xml:space="preserve">6.83(6.24)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CSi</w:t>
            </w:r>
            <w:r>
              <w:rPr>
                <w:vertAlign w:val="subscript"/>
              </w:rPr>
              <w:t xml:space="preserve">5</w:t>
            </w:r>
            <w:r>
              <w:t xml:space="preserve">H</w:t>
            </w:r>
            <w:r>
              <w:rPr>
                <w:vertAlign w:val="subscript"/>
              </w:rPr>
              <w:t xml:space="preserve">6</w:t>
            </w:r>
            <w:r>
              <w:t xml:space="preserve">N</w:t>
            </w:r>
            <w:r>
              <w:rPr>
                <w:vertAlign w:val="subscript"/>
              </w:rPr>
              <w:t xml:space="preserve">12</w:t>
            </w:r>
            <w:r>
              <w:t xml:space="preserve">O</w:t>
            </w:r>
            <w:r>
              <w:rPr>
                <w:vertAlign w:val="subscript"/>
              </w:rPr>
              <w:t xml:space="preserve">12</w:t>
            </w:r>
          </w:p>
        </w:tc>
        <w:tc>
          <w:p>
            <w:pPr>
              <w:pStyle w:val="Compact"/>
              <w:jc w:val="center"/>
            </w:pPr>
            <w:r>
              <w:t xml:space="preserve">-8.58(-8.45)</w:t>
            </w:r>
          </w:p>
        </w:tc>
        <w:tc>
          <w:p>
            <w:pPr>
              <w:pStyle w:val="Compact"/>
              <w:jc w:val="center"/>
            </w:pPr>
            <w:r>
              <w:t xml:space="preserve">-3.48(-3.2)</w:t>
            </w:r>
          </w:p>
        </w:tc>
        <w:tc>
          <w:p>
            <w:pPr>
              <w:pStyle w:val="Compact"/>
              <w:jc w:val="center"/>
            </w:pPr>
            <w:r>
              <w:t xml:space="preserve">5.1(5.25)</w:t>
            </w:r>
          </w:p>
        </w:tc>
        <w:tc>
          <w:p>
            <w:pPr>
              <w:pStyle w:val="Compact"/>
              <w:jc w:val="center"/>
            </w:pPr>
            <w:r>
              <w:t xml:space="preserve">-6.03(-5.82)</w:t>
            </w:r>
          </w:p>
        </w:tc>
        <w:tc>
          <w:p>
            <w:pPr>
              <w:pStyle w:val="Compact"/>
              <w:jc w:val="center"/>
            </w:pPr>
            <w:r>
              <w:t xml:space="preserve">2.55(2.63)</w:t>
            </w:r>
          </w:p>
        </w:tc>
        <w:tc>
          <w:p>
            <w:pPr>
              <w:pStyle w:val="Compact"/>
              <w:jc w:val="center"/>
            </w:pPr>
            <w:r>
              <w:t xml:space="preserve">0.2(0.19)</w:t>
            </w:r>
          </w:p>
        </w:tc>
        <w:tc>
          <w:p>
            <w:pPr>
              <w:pStyle w:val="Compact"/>
              <w:jc w:val="center"/>
            </w:pPr>
            <w:r>
              <w:t xml:space="preserve">7.13(6.46)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C</w:t>
            </w:r>
            <w:r>
              <w:rPr>
                <w:vertAlign w:val="subscript"/>
              </w:rPr>
              <w:t xml:space="preserve">4</w:t>
            </w:r>
            <w:r>
              <w:t xml:space="preserve">Si</w:t>
            </w:r>
            <w:r>
              <w:rPr>
                <w:vertAlign w:val="subscript"/>
              </w:rPr>
              <w:t xml:space="preserve">2</w:t>
            </w:r>
            <w:r>
              <w:t xml:space="preserve">H</w:t>
            </w:r>
            <w:r>
              <w:rPr>
                <w:vertAlign w:val="subscript"/>
              </w:rPr>
              <w:t xml:space="preserve">6</w:t>
            </w:r>
            <w:r>
              <w:t xml:space="preserve">N</w:t>
            </w:r>
            <w:r>
              <w:rPr>
                <w:vertAlign w:val="subscript"/>
              </w:rPr>
              <w:t xml:space="preserve">12</w:t>
            </w:r>
            <w:r>
              <w:t xml:space="preserve">F</w:t>
            </w:r>
            <w:r>
              <w:rPr>
                <w:vertAlign w:val="subscript"/>
              </w:rPr>
              <w:t xml:space="preserve">12</w:t>
            </w:r>
          </w:p>
        </w:tc>
        <w:tc>
          <w:p>
            <w:pPr>
              <w:pStyle w:val="Compact"/>
              <w:jc w:val="center"/>
            </w:pPr>
            <w:r>
              <w:t xml:space="preserve">-8.29(-8.06)</w:t>
            </w:r>
          </w:p>
        </w:tc>
        <w:tc>
          <w:p>
            <w:pPr>
              <w:pStyle w:val="Compact"/>
              <w:jc w:val="center"/>
            </w:pPr>
            <w:r>
              <w:t xml:space="preserve">-2.06(-1.67)</w:t>
            </w:r>
          </w:p>
        </w:tc>
        <w:tc>
          <w:p>
            <w:pPr>
              <w:pStyle w:val="Compact"/>
              <w:jc w:val="center"/>
            </w:pPr>
            <w:r>
              <w:t xml:space="preserve">6.23(6.39)</w:t>
            </w:r>
          </w:p>
        </w:tc>
        <w:tc>
          <w:p>
            <w:pPr>
              <w:pStyle w:val="Compact"/>
              <w:jc w:val="center"/>
            </w:pPr>
            <w:r>
              <w:t xml:space="preserve">-5.18(-4.87)</w:t>
            </w:r>
          </w:p>
        </w:tc>
        <w:tc>
          <w:p>
            <w:pPr>
              <w:pStyle w:val="Compact"/>
              <w:jc w:val="center"/>
            </w:pPr>
            <w:r>
              <w:t xml:space="preserve">3.11(3.19)</w:t>
            </w:r>
          </w:p>
        </w:tc>
        <w:tc>
          <w:p>
            <w:pPr>
              <w:pStyle w:val="Compact"/>
              <w:jc w:val="center"/>
            </w:pPr>
            <w:r>
              <w:t xml:space="preserve">0.16(0.16)</w:t>
            </w:r>
          </w:p>
        </w:tc>
        <w:tc>
          <w:p>
            <w:pPr>
              <w:pStyle w:val="Compact"/>
              <w:jc w:val="center"/>
            </w:pPr>
            <w:r>
              <w:t xml:space="preserve">4.3(3.71)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Dimers</w:t>
            </w: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</w:tr>
      <w:tr>
        <w:tc>
          <w:p>
            <w:pPr>
              <w:pStyle w:val="Compact"/>
              <w:jc w:val="center"/>
            </w:pPr>
            <w:r>
              <w:t xml:space="preserve">D1-(1)</w:t>
            </w:r>
          </w:p>
        </w:tc>
        <w:tc>
          <w:p>
            <w:pPr>
              <w:pStyle w:val="Compact"/>
              <w:jc w:val="center"/>
            </w:pPr>
            <w:r>
              <w:t xml:space="preserve">-7.64(-7.45)</w:t>
            </w:r>
          </w:p>
        </w:tc>
        <w:tc>
          <w:p>
            <w:pPr>
              <w:pStyle w:val="Compact"/>
              <w:jc w:val="center"/>
            </w:pPr>
            <w:r>
              <w:t xml:space="preserve">-3.06(-2.79)</w:t>
            </w:r>
          </w:p>
        </w:tc>
        <w:tc>
          <w:p>
            <w:pPr>
              <w:pStyle w:val="Compact"/>
              <w:jc w:val="center"/>
            </w:pPr>
            <w:r>
              <w:t xml:space="preserve">4.58(4.66)</w:t>
            </w:r>
          </w:p>
        </w:tc>
        <w:tc>
          <w:p>
            <w:pPr>
              <w:pStyle w:val="Compact"/>
              <w:jc w:val="center"/>
            </w:pPr>
            <w:r>
              <w:t xml:space="preserve">-5.35(-5.12)</w:t>
            </w:r>
          </w:p>
        </w:tc>
        <w:tc>
          <w:p>
            <w:pPr>
              <w:pStyle w:val="Compact"/>
              <w:jc w:val="center"/>
            </w:pPr>
            <w:r>
              <w:t xml:space="preserve">2.29(2.33)</w:t>
            </w:r>
          </w:p>
        </w:tc>
        <w:tc>
          <w:p>
            <w:pPr>
              <w:pStyle w:val="Compact"/>
              <w:jc w:val="center"/>
            </w:pPr>
            <w:r>
              <w:t xml:space="preserve">0.22(0.21)</w:t>
            </w:r>
          </w:p>
        </w:tc>
        <w:tc>
          <w:p>
            <w:pPr>
              <w:pStyle w:val="Compact"/>
              <w:jc w:val="center"/>
            </w:pPr>
            <w:r>
              <w:t xml:space="preserve">6.24(5.64)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D2-(1)</w:t>
            </w:r>
          </w:p>
        </w:tc>
        <w:tc>
          <w:p>
            <w:pPr>
              <w:pStyle w:val="Compact"/>
              <w:jc w:val="center"/>
            </w:pPr>
            <w:r>
              <w:t xml:space="preserve">-7.79(-7.63)</w:t>
            </w:r>
          </w:p>
        </w:tc>
        <w:tc>
          <w:p>
            <w:pPr>
              <w:pStyle w:val="Compact"/>
              <w:jc w:val="center"/>
            </w:pPr>
            <w:r>
              <w:t xml:space="preserve">-3.15(-2.89)</w:t>
            </w:r>
          </w:p>
        </w:tc>
        <w:tc>
          <w:p>
            <w:pPr>
              <w:pStyle w:val="Compact"/>
              <w:jc w:val="center"/>
            </w:pPr>
            <w:r>
              <w:t xml:space="preserve">4.64(4.74)</w:t>
            </w:r>
          </w:p>
        </w:tc>
        <w:tc>
          <w:p>
            <w:pPr>
              <w:pStyle w:val="Compact"/>
              <w:jc w:val="center"/>
            </w:pPr>
            <w:r>
              <w:t xml:space="preserve">-5.47(-5.26)</w:t>
            </w:r>
          </w:p>
        </w:tc>
        <w:tc>
          <w:p>
            <w:pPr>
              <w:pStyle w:val="Compact"/>
              <w:jc w:val="center"/>
            </w:pPr>
            <w:r>
              <w:t xml:space="preserve">2.32(2.37)</w:t>
            </w:r>
          </w:p>
        </w:tc>
        <w:tc>
          <w:p>
            <w:pPr>
              <w:pStyle w:val="Compact"/>
              <w:jc w:val="center"/>
            </w:pPr>
            <w:r>
              <w:t xml:space="preserve">0.22(0.21)</w:t>
            </w:r>
          </w:p>
        </w:tc>
        <w:tc>
          <w:p>
            <w:pPr>
              <w:pStyle w:val="Compact"/>
              <w:jc w:val="center"/>
            </w:pPr>
            <w:r>
              <w:t xml:space="preserve">6.46(5.84)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D2-(2)</w:t>
            </w:r>
          </w:p>
        </w:tc>
        <w:tc>
          <w:p>
            <w:pPr>
              <w:pStyle w:val="Compact"/>
              <w:jc w:val="center"/>
            </w:pPr>
            <w:r>
              <w:t xml:space="preserve">-7.62(-7.49)</w:t>
            </w:r>
          </w:p>
        </w:tc>
        <w:tc>
          <w:p>
            <w:pPr>
              <w:pStyle w:val="Compact"/>
              <w:jc w:val="center"/>
            </w:pPr>
            <w:r>
              <w:t xml:space="preserve">-3.27(-3.03)</w:t>
            </w:r>
          </w:p>
        </w:tc>
        <w:tc>
          <w:p>
            <w:pPr>
              <w:pStyle w:val="Compact"/>
              <w:jc w:val="center"/>
            </w:pPr>
            <w:r>
              <w:t xml:space="preserve">4.35(4.46)</w:t>
            </w:r>
          </w:p>
        </w:tc>
        <w:tc>
          <w:p>
            <w:pPr>
              <w:pStyle w:val="Compact"/>
              <w:jc w:val="center"/>
            </w:pPr>
            <w:r>
              <w:t xml:space="preserve">-5.45(-5.26)</w:t>
            </w:r>
          </w:p>
        </w:tc>
        <w:tc>
          <w:p>
            <w:pPr>
              <w:pStyle w:val="Compact"/>
              <w:jc w:val="center"/>
            </w:pPr>
            <w:r>
              <w:t xml:space="preserve">2.18(2.23)</w:t>
            </w:r>
          </w:p>
        </w:tc>
        <w:tc>
          <w:p>
            <w:pPr>
              <w:pStyle w:val="Compact"/>
              <w:jc w:val="center"/>
            </w:pPr>
            <w:r>
              <w:t xml:space="preserve">0.23(0.22)</w:t>
            </w:r>
          </w:p>
        </w:tc>
        <w:tc>
          <w:p>
            <w:pPr>
              <w:pStyle w:val="Compact"/>
              <w:jc w:val="center"/>
            </w:pPr>
            <w:r>
              <w:t xml:space="preserve">6.82(6.21)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D2-(3)</w:t>
            </w:r>
          </w:p>
        </w:tc>
        <w:tc>
          <w:p>
            <w:pPr>
              <w:pStyle w:val="Compact"/>
              <w:jc w:val="center"/>
            </w:pPr>
            <w:r>
              <w:t xml:space="preserve">-7.58(-7.48)</w:t>
            </w:r>
          </w:p>
        </w:tc>
        <w:tc>
          <w:p>
            <w:pPr>
              <w:pStyle w:val="Compact"/>
              <w:jc w:val="center"/>
            </w:pPr>
            <w:r>
              <w:t xml:space="preserve">-3.26(-3.02)</w:t>
            </w:r>
          </w:p>
        </w:tc>
        <w:tc>
          <w:p>
            <w:pPr>
              <w:pStyle w:val="Compact"/>
              <w:jc w:val="center"/>
            </w:pPr>
            <w:r>
              <w:t xml:space="preserve">4.32(4.46)</w:t>
            </w:r>
          </w:p>
        </w:tc>
        <w:tc>
          <w:p>
            <w:pPr>
              <w:pStyle w:val="Compact"/>
              <w:jc w:val="center"/>
            </w:pPr>
            <w:r>
              <w:t xml:space="preserve">-5.42(-5.25)</w:t>
            </w:r>
          </w:p>
        </w:tc>
        <w:tc>
          <w:p>
            <w:pPr>
              <w:pStyle w:val="Compact"/>
              <w:jc w:val="center"/>
            </w:pPr>
            <w:r>
              <w:t xml:space="preserve">2.16(2.23)</w:t>
            </w:r>
          </w:p>
        </w:tc>
        <w:tc>
          <w:p>
            <w:pPr>
              <w:pStyle w:val="Compact"/>
              <w:jc w:val="center"/>
            </w:pPr>
            <w:r>
              <w:t xml:space="preserve">0.23(0.22)</w:t>
            </w:r>
          </w:p>
        </w:tc>
        <w:tc>
          <w:p>
            <w:pPr>
              <w:pStyle w:val="Compact"/>
              <w:jc w:val="center"/>
            </w:pPr>
            <w:r>
              <w:t xml:space="preserve">6.81(6.17)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D3-(1)</w:t>
            </w:r>
          </w:p>
        </w:tc>
        <w:tc>
          <w:p>
            <w:pPr>
              <w:pStyle w:val="Compact"/>
              <w:jc w:val="center"/>
            </w:pPr>
            <w:r>
              <w:t xml:space="preserve">-7.39(-7.18)</w:t>
            </w:r>
          </w:p>
        </w:tc>
        <w:tc>
          <w:p>
            <w:pPr>
              <w:pStyle w:val="Compact"/>
              <w:jc w:val="center"/>
            </w:pPr>
            <w:r>
              <w:t xml:space="preserve">-1.85(-1.49)</w:t>
            </w:r>
          </w:p>
        </w:tc>
        <w:tc>
          <w:p>
            <w:pPr>
              <w:pStyle w:val="Compact"/>
              <w:jc w:val="center"/>
            </w:pPr>
            <w:r>
              <w:t xml:space="preserve">5.54(5.69)</w:t>
            </w:r>
          </w:p>
        </w:tc>
        <w:tc>
          <w:p>
            <w:pPr>
              <w:pStyle w:val="Compact"/>
              <w:jc w:val="center"/>
            </w:pPr>
            <w:r>
              <w:t xml:space="preserve">-4.62(-4.34)</w:t>
            </w:r>
          </w:p>
        </w:tc>
        <w:tc>
          <w:p>
            <w:pPr>
              <w:pStyle w:val="Compact"/>
              <w:jc w:val="center"/>
            </w:pPr>
            <w:r>
              <w:t xml:space="preserve">2.77(2.84)</w:t>
            </w:r>
          </w:p>
        </w:tc>
        <w:tc>
          <w:p>
            <w:pPr>
              <w:pStyle w:val="Compact"/>
              <w:jc w:val="center"/>
            </w:pPr>
            <w:r>
              <w:t xml:space="preserve">0.18(0.18)</w:t>
            </w:r>
          </w:p>
        </w:tc>
        <w:tc>
          <w:p>
            <w:pPr>
              <w:pStyle w:val="Compact"/>
              <w:jc w:val="center"/>
            </w:pPr>
            <w:r>
              <w:t xml:space="preserve">3.85(3.3)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D3-(2)</w:t>
            </w:r>
          </w:p>
        </w:tc>
        <w:tc>
          <w:p>
            <w:pPr>
              <w:pStyle w:val="Compact"/>
              <w:jc w:val="center"/>
            </w:pPr>
            <w:r>
              <w:t xml:space="preserve">-7.46(-7.25)</w:t>
            </w:r>
          </w:p>
        </w:tc>
        <w:tc>
          <w:p>
            <w:pPr>
              <w:pStyle w:val="Compact"/>
              <w:jc w:val="center"/>
            </w:pPr>
            <w:r>
              <w:t xml:space="preserve">-1.83(-1.45)</w:t>
            </w:r>
          </w:p>
        </w:tc>
        <w:tc>
          <w:p>
            <w:pPr>
              <w:pStyle w:val="Compact"/>
              <w:jc w:val="center"/>
            </w:pPr>
            <w:r>
              <w:t xml:space="preserve">5.63(5.8)</w:t>
            </w:r>
          </w:p>
        </w:tc>
        <w:tc>
          <w:p>
            <w:pPr>
              <w:pStyle w:val="Compact"/>
              <w:jc w:val="center"/>
            </w:pPr>
            <w:r>
              <w:t xml:space="preserve">-4.65(-4.35)</w:t>
            </w:r>
          </w:p>
        </w:tc>
        <w:tc>
          <w:p>
            <w:pPr>
              <w:pStyle w:val="Compact"/>
              <w:jc w:val="center"/>
            </w:pPr>
            <w:r>
              <w:t xml:space="preserve">2.81(2.9)</w:t>
            </w:r>
          </w:p>
        </w:tc>
        <w:tc>
          <w:p>
            <w:pPr>
              <w:pStyle w:val="Compact"/>
              <w:jc w:val="center"/>
            </w:pPr>
            <w:r>
              <w:t xml:space="preserve">0.18(0.17)</w:t>
            </w:r>
          </w:p>
        </w:tc>
        <w:tc>
          <w:p>
            <w:pPr>
              <w:pStyle w:val="Compact"/>
              <w:jc w:val="center"/>
            </w:pPr>
            <w:r>
              <w:t xml:space="preserve">3.84(3.27)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D3-(3)</w:t>
            </w:r>
          </w:p>
        </w:tc>
        <w:tc>
          <w:p>
            <w:pPr>
              <w:pStyle w:val="Compact"/>
              <w:jc w:val="center"/>
            </w:pPr>
            <w:r>
              <w:t xml:space="preserve">-7.41(-7.17)</w:t>
            </w:r>
          </w:p>
        </w:tc>
        <w:tc>
          <w:p>
            <w:pPr>
              <w:pStyle w:val="Compact"/>
              <w:jc w:val="center"/>
            </w:pPr>
            <w:r>
              <w:t xml:space="preserve">-1.86(-1.49)</w:t>
            </w:r>
          </w:p>
        </w:tc>
        <w:tc>
          <w:p>
            <w:pPr>
              <w:pStyle w:val="Compact"/>
              <w:jc w:val="center"/>
            </w:pPr>
            <w:r>
              <w:t xml:space="preserve">5.55(5.68)</w:t>
            </w:r>
          </w:p>
        </w:tc>
        <w:tc>
          <w:p>
            <w:pPr>
              <w:pStyle w:val="Compact"/>
              <w:jc w:val="center"/>
            </w:pPr>
            <w:r>
              <w:t xml:space="preserve">-4.64(-4.33)</w:t>
            </w:r>
          </w:p>
        </w:tc>
        <w:tc>
          <w:p>
            <w:pPr>
              <w:pStyle w:val="Compact"/>
              <w:jc w:val="center"/>
            </w:pPr>
            <w:r>
              <w:t xml:space="preserve">2.78(2.84)</w:t>
            </w:r>
          </w:p>
        </w:tc>
        <w:tc>
          <w:p>
            <w:pPr>
              <w:pStyle w:val="Compact"/>
              <w:jc w:val="center"/>
            </w:pPr>
            <w:r>
              <w:t xml:space="preserve">0.18(0.18)</w:t>
            </w:r>
          </w:p>
        </w:tc>
        <w:tc>
          <w:p>
            <w:pPr>
              <w:pStyle w:val="Compact"/>
              <w:jc w:val="center"/>
            </w:pPr>
            <w:r>
              <w:t xml:space="preserve">3.87(3.3)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D3-(4)</w:t>
            </w:r>
          </w:p>
        </w:tc>
        <w:tc>
          <w:p>
            <w:pPr>
              <w:pStyle w:val="Compact"/>
              <w:jc w:val="center"/>
            </w:pPr>
            <w:r>
              <w:t xml:space="preserve">-7.41(-7.15)</w:t>
            </w:r>
          </w:p>
        </w:tc>
        <w:tc>
          <w:p>
            <w:pPr>
              <w:pStyle w:val="Compact"/>
              <w:jc w:val="center"/>
            </w:pPr>
            <w:r>
              <w:t xml:space="preserve">-1.87(-1.46)</w:t>
            </w:r>
          </w:p>
        </w:tc>
        <w:tc>
          <w:p>
            <w:pPr>
              <w:pStyle w:val="Compact"/>
              <w:jc w:val="center"/>
            </w:pPr>
            <w:r>
              <w:t xml:space="preserve">5.54(5.69)</w:t>
            </w:r>
          </w:p>
        </w:tc>
        <w:tc>
          <w:p>
            <w:pPr>
              <w:pStyle w:val="Compact"/>
              <w:jc w:val="center"/>
            </w:pPr>
            <w:r>
              <w:t xml:space="preserve">-4.64(-4.31)</w:t>
            </w:r>
          </w:p>
        </w:tc>
        <w:tc>
          <w:p>
            <w:pPr>
              <w:pStyle w:val="Compact"/>
              <w:jc w:val="center"/>
            </w:pPr>
            <w:r>
              <w:t xml:space="preserve">2.77(2.84)</w:t>
            </w:r>
          </w:p>
        </w:tc>
        <w:tc>
          <w:p>
            <w:pPr>
              <w:pStyle w:val="Compact"/>
              <w:jc w:val="center"/>
            </w:pPr>
            <w:r>
              <w:t xml:space="preserve">0.18(0.18)</w:t>
            </w:r>
          </w:p>
        </w:tc>
        <w:tc>
          <w:p>
            <w:pPr>
              <w:pStyle w:val="Compact"/>
              <w:jc w:val="center"/>
            </w:pPr>
            <w:r>
              <w:t xml:space="preserve">3.89(3.26)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D3-(5)</w:t>
            </w:r>
          </w:p>
        </w:tc>
        <w:tc>
          <w:p>
            <w:pPr>
              <w:pStyle w:val="Compact"/>
              <w:jc w:val="center"/>
            </w:pPr>
            <w:r>
              <w:t xml:space="preserve">-7.31(-7.08)</w:t>
            </w:r>
          </w:p>
        </w:tc>
        <w:tc>
          <w:p>
            <w:pPr>
              <w:pStyle w:val="Compact"/>
              <w:jc w:val="center"/>
            </w:pPr>
            <w:r>
              <w:t xml:space="preserve">-1.82(-1.45)</w:t>
            </w:r>
          </w:p>
        </w:tc>
        <w:tc>
          <w:p>
            <w:pPr>
              <w:pStyle w:val="Compact"/>
              <w:jc w:val="center"/>
            </w:pPr>
            <w:r>
              <w:t xml:space="preserve">5.49(5.63)</w:t>
            </w:r>
          </w:p>
        </w:tc>
        <w:tc>
          <w:p>
            <w:pPr>
              <w:pStyle w:val="Compact"/>
              <w:jc w:val="center"/>
            </w:pPr>
            <w:r>
              <w:t xml:space="preserve">-4.56(-4.26)</w:t>
            </w:r>
          </w:p>
        </w:tc>
        <w:tc>
          <w:p>
            <w:pPr>
              <w:pStyle w:val="Compact"/>
              <w:jc w:val="center"/>
            </w:pPr>
            <w:r>
              <w:t xml:space="preserve">2.75(2.82)</w:t>
            </w:r>
          </w:p>
        </w:tc>
        <w:tc>
          <w:p>
            <w:pPr>
              <w:pStyle w:val="Compact"/>
              <w:jc w:val="center"/>
            </w:pPr>
            <w:r>
              <w:t xml:space="preserve">0.18(0.18)</w:t>
            </w:r>
          </w:p>
        </w:tc>
        <w:tc>
          <w:p>
            <w:pPr>
              <w:pStyle w:val="Compact"/>
              <w:jc w:val="center"/>
            </w:pPr>
            <w:r>
              <w:t xml:space="preserve">3.79(3.23)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D3-(6)</w:t>
            </w:r>
          </w:p>
        </w:tc>
        <w:tc>
          <w:p>
            <w:pPr>
              <w:pStyle w:val="Compact"/>
              <w:jc w:val="center"/>
            </w:pPr>
            <w:r>
              <w:t xml:space="preserve">-7.37(-7.11)</w:t>
            </w:r>
          </w:p>
        </w:tc>
        <w:tc>
          <w:p>
            <w:pPr>
              <w:pStyle w:val="Compact"/>
              <w:jc w:val="center"/>
            </w:pPr>
            <w:r>
              <w:t xml:space="preserve">-1.87(-1.47)</w:t>
            </w:r>
          </w:p>
        </w:tc>
        <w:tc>
          <w:p>
            <w:pPr>
              <w:pStyle w:val="Compact"/>
              <w:jc w:val="center"/>
            </w:pPr>
            <w:r>
              <w:t xml:space="preserve">5.49(5.64)</w:t>
            </w:r>
          </w:p>
        </w:tc>
        <w:tc>
          <w:p>
            <w:pPr>
              <w:pStyle w:val="Compact"/>
              <w:jc w:val="center"/>
            </w:pPr>
            <w:r>
              <w:t xml:space="preserve">-4.62 (-4.29)</w:t>
            </w:r>
          </w:p>
        </w:tc>
        <w:tc>
          <w:p>
            <w:pPr>
              <w:pStyle w:val="Compact"/>
              <w:jc w:val="center"/>
            </w:pPr>
            <w:r>
              <w:t xml:space="preserve">2.75(2.82)</w:t>
            </w:r>
          </w:p>
        </w:tc>
        <w:tc>
          <w:p>
            <w:pPr>
              <w:pStyle w:val="Compact"/>
              <w:jc w:val="center"/>
            </w:pPr>
            <w:r>
              <w:t xml:space="preserve">0.18(0.18)</w:t>
            </w:r>
          </w:p>
        </w:tc>
        <w:tc>
          <w:p>
            <w:pPr>
              <w:pStyle w:val="Compact"/>
              <w:jc w:val="center"/>
            </w:pPr>
            <w:r>
              <w:t xml:space="preserve">3.88(3.27)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D3-(7)</w:t>
            </w:r>
          </w:p>
        </w:tc>
        <w:tc>
          <w:p>
            <w:pPr>
              <w:pStyle w:val="Compact"/>
              <w:jc w:val="center"/>
            </w:pPr>
            <w:r>
              <w:t xml:space="preserve">-7.3(-7.05)</w:t>
            </w:r>
          </w:p>
        </w:tc>
        <w:tc>
          <w:p>
            <w:pPr>
              <w:pStyle w:val="Compact"/>
              <w:jc w:val="center"/>
            </w:pPr>
            <w:r>
              <w:t xml:space="preserve">-1.88(-1.49)</w:t>
            </w:r>
          </w:p>
        </w:tc>
        <w:tc>
          <w:p>
            <w:pPr>
              <w:pStyle w:val="Compact"/>
              <w:jc w:val="center"/>
            </w:pPr>
            <w:r>
              <w:t xml:space="preserve">5.41(5.55)</w:t>
            </w:r>
          </w:p>
        </w:tc>
        <w:tc>
          <w:p>
            <w:pPr>
              <w:pStyle w:val="Compact"/>
              <w:jc w:val="center"/>
            </w:pPr>
            <w:r>
              <w:t xml:space="preserve">-4.59(-4.27)</w:t>
            </w:r>
          </w:p>
        </w:tc>
        <w:tc>
          <w:p>
            <w:pPr>
              <w:pStyle w:val="Compact"/>
              <w:jc w:val="center"/>
            </w:pPr>
            <w:r>
              <w:t xml:space="preserve">2.71(2.78)</w:t>
            </w:r>
          </w:p>
        </w:tc>
        <w:tc>
          <w:p>
            <w:pPr>
              <w:pStyle w:val="Compact"/>
              <w:jc w:val="center"/>
            </w:pPr>
            <w:r>
              <w:t xml:space="preserve">0.18(0.18)</w:t>
            </w:r>
          </w:p>
        </w:tc>
        <w:tc>
          <w:p>
            <w:pPr>
              <w:pStyle w:val="Compact"/>
              <w:jc w:val="center"/>
            </w:pPr>
            <w:r>
              <w:t xml:space="preserve">3.89(3.28)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D3-(8)</w:t>
            </w:r>
          </w:p>
        </w:tc>
        <w:tc>
          <w:p>
            <w:pPr>
              <w:pStyle w:val="Compact"/>
              <w:jc w:val="center"/>
            </w:pPr>
            <w:r>
              <w:t xml:space="preserve">-7.25(-6.98)</w:t>
            </w:r>
          </w:p>
        </w:tc>
        <w:tc>
          <w:p>
            <w:pPr>
              <w:pStyle w:val="Compact"/>
              <w:jc w:val="center"/>
            </w:pPr>
            <w:r>
              <w:t xml:space="preserve">-1.88(-1.49)</w:t>
            </w:r>
          </w:p>
        </w:tc>
        <w:tc>
          <w:p>
            <w:pPr>
              <w:pStyle w:val="Compact"/>
              <w:jc w:val="center"/>
            </w:pPr>
            <w:r>
              <w:t xml:space="preserve">5.37(5.49)</w:t>
            </w:r>
          </w:p>
        </w:tc>
        <w:tc>
          <w:p>
            <w:pPr>
              <w:pStyle w:val="Compact"/>
              <w:jc w:val="center"/>
            </w:pPr>
            <w:r>
              <w:t xml:space="preserve">-4.57(-4.24)</w:t>
            </w:r>
          </w:p>
        </w:tc>
        <w:tc>
          <w:p>
            <w:pPr>
              <w:pStyle w:val="Compact"/>
              <w:jc w:val="center"/>
            </w:pPr>
            <w:r>
              <w:t xml:space="preserve">2.69(2.74)</w:t>
            </w:r>
          </w:p>
        </w:tc>
        <w:tc>
          <w:p>
            <w:pPr>
              <w:pStyle w:val="Compact"/>
              <w:jc w:val="center"/>
            </w:pPr>
            <w:r>
              <w:t xml:space="preserve">0.19(0.18)</w:t>
            </w:r>
          </w:p>
        </w:tc>
        <w:tc>
          <w:p>
            <w:pPr>
              <w:pStyle w:val="Compact"/>
              <w:jc w:val="center"/>
            </w:pPr>
            <w:r>
              <w:t xml:space="preserve">3.89(3.27)</w:t>
            </w:r>
          </w:p>
        </w:tc>
      </w:tr>
    </w:tbl>
    <w:p>
      <w:pPr>
        <w:pStyle w:val="BodyText"/>
      </w:pPr>
      <w:r>
        <w:t xml:space="preserve">Values obtained within the 6-311G++(2d,2p) and 6-311G(d,p) basis sets</w:t>
      </w:r>
      <w:r>
        <w:t xml:space="preserve"> </w:t>
      </w:r>
      <w:r>
        <w:t xml:space="preserve">demonstrate good agreement, therefore, the smaller basis set is found to</w:t>
      </w:r>
      <w:r>
        <w:t xml:space="preserve"> </w:t>
      </w:r>
      <w:r>
        <w:t xml:space="preserve">be sufficient for the CL-20 and its derivatives. CL-20 and</w:t>
      </w:r>
      <w:r>
        <w:t xml:space="preserve"> </w:t>
      </w:r>
      <w:r>
        <w:t xml:space="preserve">CSi</w:t>
      </w:r>
      <w:r>
        <w:rPr>
          <w:vertAlign w:val="subscript"/>
        </w:rPr>
        <w:t xml:space="preserve">5</w:t>
      </w:r>
      <w:r>
        <w:t xml:space="preserve">H</w:t>
      </w:r>
      <w:r>
        <w:rPr>
          <w:vertAlign w:val="subscript"/>
        </w:rPr>
        <w:t xml:space="preserve">6</w:t>
      </w:r>
      <w:r>
        <w:t xml:space="preserve">N</w:t>
      </w:r>
      <w:r>
        <w:rPr>
          <w:vertAlign w:val="subscript"/>
        </w:rPr>
        <w:t xml:space="preserve">12</w:t>
      </w:r>
      <w:r>
        <w:t xml:space="preserve">O</w:t>
      </w:r>
      <w:r>
        <w:rPr>
          <w:vertAlign w:val="subscript"/>
        </w:rPr>
        <w:t xml:space="preserve">12</w:t>
      </w:r>
      <w:r>
        <w:t xml:space="preserve"> </w:t>
      </w:r>
      <w:r>
        <w:t xml:space="preserve">cages have almost the same energies of frontier orbitals and, therefore,</w:t>
      </w:r>
      <w:r>
        <w:t xml:space="preserve"> </w:t>
      </w:r>
      <w:r>
        <w:t xml:space="preserve">possess rather similar chemical properties and reactivity. The presence</w:t>
      </w:r>
      <w:r>
        <w:t xml:space="preserve"> </w:t>
      </w:r>
      <w:r>
        <w:t xml:space="preserve">of silicon atoms in the molecular framework does not change</w:t>
      </w:r>
      <w:r>
        <w:t xml:space="preserve"> </w:t>
      </w:r>
      <w:r>
        <w:t xml:space="preserve">significantly the values of HOMO and LUMO energies since LUMO orbitals</w:t>
      </w:r>
      <w:r>
        <w:t xml:space="preserve"> </w:t>
      </w:r>
      <w:r>
        <w:t xml:space="preserve">mainly concentrate on the nitro groups (see Fig. 4).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4177492" cy="2171317"/>
            <wp:effectExtent b="0" l="0" r="0" t="0"/>
            <wp:docPr descr=" Frontier orbitals of CL-20 (a), CSi5H6N12O12 (b) as well as dimers D1-(1) (c) and D2-(1) (d). " title="" id="1" name="Picture"/>
            <a:graphic>
              <a:graphicData uri="http://schemas.openxmlformats.org/drawingml/2006/picture">
                <pic:pic>
                  <pic:nvPicPr>
                    <pic:cNvPr descr="figures/Figure4/Figure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21713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 Frontier orbitals of CL-20 (a),</w:t>
      </w:r>
      <w:r>
        <w:t xml:space="preserve"> </w:t>
      </w:r>
      <w:r>
        <w:t xml:space="preserve">CSi</w:t>
      </w:r>
      <w:r>
        <w:rPr>
          <w:vertAlign w:val="subscript"/>
        </w:rPr>
        <w:t xml:space="preserve">5</w:t>
      </w:r>
      <w:r>
        <w:t xml:space="preserve">H</w:t>
      </w:r>
      <w:r>
        <w:rPr>
          <w:vertAlign w:val="subscript"/>
        </w:rPr>
        <w:t xml:space="preserve">6</w:t>
      </w:r>
      <w:r>
        <w:t xml:space="preserve">N</w:t>
      </w:r>
      <w:r>
        <w:rPr>
          <w:vertAlign w:val="subscript"/>
        </w:rPr>
        <w:t xml:space="preserve">12</w:t>
      </w:r>
      <w:r>
        <w:t xml:space="preserve">O</w:t>
      </w:r>
      <w:r>
        <w:rPr>
          <w:vertAlign w:val="subscript"/>
        </w:rPr>
        <w:t xml:space="preserve">12</w:t>
      </w:r>
      <w:r>
        <w:t xml:space="preserve"> </w:t>
      </w:r>
      <w:r>
        <w:t xml:space="preserve">(b) as well as dimers D1-(1) (c) and D2-(1) (d).</w:t>
      </w:r>
      <w:r>
        <w:t xml:space="preserve"> </w:t>
      </w:r>
    </w:p>
    <w:p>
      <w:pPr>
        <w:pStyle w:val="BodyText"/>
      </w:pPr>
      <w:r>
        <w:t xml:space="preserve">On the other hand,</w:t>
      </w:r>
      <w:r>
        <w:t xml:space="preserve"> </w:t>
      </w:r>
      <w:r>
        <w:t xml:space="preserve">C</w:t>
      </w:r>
      <w:r>
        <w:rPr>
          <w:vertAlign w:val="subscript"/>
        </w:rPr>
        <w:t xml:space="preserve">4</w:t>
      </w:r>
      <w:r>
        <w:t xml:space="preserve">Si</w:t>
      </w:r>
      <w:r>
        <w:rPr>
          <w:vertAlign w:val="subscript"/>
        </w:rPr>
        <w:t xml:space="preserve">2</w:t>
      </w:r>
      <w:r>
        <w:t xml:space="preserve">H</w:t>
      </w:r>
      <w:r>
        <w:rPr>
          <w:vertAlign w:val="subscript"/>
        </w:rPr>
        <w:t xml:space="preserve">6</w:t>
      </w:r>
      <w:r>
        <w:t xml:space="preserve">N</w:t>
      </w:r>
      <w:r>
        <w:rPr>
          <w:vertAlign w:val="subscript"/>
        </w:rPr>
        <w:t xml:space="preserve">12</w:t>
      </w:r>
      <w:r>
        <w:t xml:space="preserve">F</w:t>
      </w:r>
      <w:r>
        <w:rPr>
          <w:vertAlign w:val="subscript"/>
        </w:rPr>
        <w:t xml:space="preserve">12</w:t>
      </w:r>
      <w:r>
        <w:t xml:space="preserve"> </w:t>
      </w:r>
      <w:r>
        <w:t xml:space="preserve">and its dimers have much higher LUMO energies due to the presence of</w:t>
      </w:r>
      <w:r>
        <w:t xml:space="preserve"> </w:t>
      </w:r>
      <w:r>
        <w:t xml:space="preserve">fluorine atoms. As a result, fluorine-containing cages possess higher</w:t>
      </w:r>
      <w:r>
        <w:t xml:space="preserve"> </w:t>
      </w:r>
      <w:r>
        <w:t xml:space="preserve">HOMO-LUMO gaps and chemical hardness, and significantly lower</w:t>
      </w:r>
      <w:r>
        <w:t xml:space="preserve"> </w:t>
      </w:r>
      <w:r>
        <w:t xml:space="preserve">electrophilicity. For all considered cages, dimers demonstrate lower</w:t>
      </w:r>
      <w:r>
        <w:t xml:space="preserve"> </w:t>
      </w:r>
      <w:r>
        <w:t xml:space="preserve">HOMO-LUMO gaps and chemical hardness due to their large effective sizes.</w:t>
      </w:r>
      <w:r>
        <w:t xml:space="preserve"> </w:t>
      </w:r>
      <w:r>
        <w:t xml:space="preserve">Such behavior is typical for the most cage-like molecules.</w:t>
      </w:r>
    </w:p>
    <w:p>
      <w:pPr>
        <w:pStyle w:val="BodyText"/>
      </w:pPr>
      <w:r>
        <w:t xml:space="preserve">To evaluate the possible energy gain associated with the dimer</w:t>
      </w:r>
      <w:r>
        <w:t xml:space="preserve"> </w:t>
      </w:r>
      <w:r>
        <w:t xml:space="preserve">formation, we consider hypothetical dimerization reaction in the</w:t>
      </w:r>
      <w:r>
        <w:t xml:space="preserve"> </w:t>
      </w:r>
      <w:r>
        <w:t xml:space="preserve">following form</w:t>
      </w:r>
    </w:p>
    <w:p>
      <w:pPr>
        <w:pStyle w:val="BodyText"/>
      </w:pPr>
      <w:r>
        <w:t xml:space="preserve">2M + 2CH</w:t>
      </w:r>
      <w:r>
        <w:rPr>
          <w:vertAlign w:val="subscript"/>
        </w:rPr>
        <w:t xml:space="preserve">2</w:t>
      </w:r>
      <w:r>
        <w:t xml:space="preserve"> </w:t>
      </w:r>
      <w:r>
        <w:t xml:space="preserve">→ D + 4NX</w:t>
      </w:r>
      <w:r>
        <w:rPr>
          <w:vertAlign w:val="subscript"/>
        </w:rPr>
        <w:t xml:space="preserve">2</w:t>
      </w:r>
      <w:r>
        <w:t xml:space="preserve"> </w:t>
      </w:r>
      <w:r>
        <w:t xml:space="preserve">(X=O or F),</w:t>
      </w:r>
    </w:p>
    <w:p>
      <w:pPr>
        <w:pStyle w:val="BodyText"/>
      </w:pPr>
      <w:r>
        <w:t xml:space="preserve">where M is a monomer (CL-20,</w:t>
      </w:r>
      <w:r>
        <w:t xml:space="preserve"> </w:t>
      </w:r>
      <w:r>
        <w:t xml:space="preserve">CSi</w:t>
      </w:r>
      <w:r>
        <w:rPr>
          <w:vertAlign w:val="subscript"/>
        </w:rPr>
        <w:t xml:space="preserve">5</w:t>
      </w:r>
      <w:r>
        <w:t xml:space="preserve">H</w:t>
      </w:r>
      <w:r>
        <w:rPr>
          <w:vertAlign w:val="subscript"/>
        </w:rPr>
        <w:t xml:space="preserve">6</w:t>
      </w:r>
      <w:r>
        <w:t xml:space="preserve">N</w:t>
      </w:r>
      <w:r>
        <w:rPr>
          <w:vertAlign w:val="subscript"/>
        </w:rPr>
        <w:t xml:space="preserve">12</w:t>
      </w:r>
      <w:r>
        <w:t xml:space="preserve">O</w:t>
      </w:r>
      <w:r>
        <w:rPr>
          <w:vertAlign w:val="subscript"/>
        </w:rPr>
        <w:t xml:space="preserve">12</w:t>
      </w:r>
      <w:r>
        <w:t xml:space="preserve"> </w:t>
      </w:r>
      <w:r>
        <w:t xml:space="preserve">or</w:t>
      </w:r>
      <w:r>
        <w:t xml:space="preserve"> </w:t>
      </w:r>
      <w:r>
        <w:t xml:space="preserve">C</w:t>
      </w:r>
      <w:r>
        <w:rPr>
          <w:vertAlign w:val="subscript"/>
        </w:rPr>
        <w:t xml:space="preserve">4</w:t>
      </w:r>
      <w:r>
        <w:t xml:space="preserve">Si</w:t>
      </w:r>
      <w:r>
        <w:rPr>
          <w:vertAlign w:val="subscript"/>
        </w:rPr>
        <w:t xml:space="preserve">2</w:t>
      </w:r>
      <w:r>
        <w:t xml:space="preserve">H</w:t>
      </w:r>
      <w:r>
        <w:rPr>
          <w:vertAlign w:val="subscript"/>
        </w:rPr>
        <w:t xml:space="preserve">6</w:t>
      </w:r>
      <w:r>
        <w:t xml:space="preserve">N</w:t>
      </w:r>
      <w:r>
        <w:rPr>
          <w:vertAlign w:val="subscript"/>
        </w:rPr>
        <w:t xml:space="preserve">12</w:t>
      </w:r>
      <w:r>
        <w:t xml:space="preserve">F</w:t>
      </w:r>
      <w:r>
        <w:rPr>
          <w:vertAlign w:val="subscript"/>
        </w:rPr>
        <w:t xml:space="preserve">12</w:t>
      </w:r>
      <w:r>
        <w:t xml:space="preserve">),</w:t>
      </w:r>
      <w:r>
        <w:t xml:space="preserve"> </w:t>
      </w:r>
      <w:r>
        <w:t xml:space="preserve">and D is the corresponding dimer. Thermodynamic characteristics of these</w:t>
      </w:r>
      <w:r>
        <w:t xml:space="preserve"> </w:t>
      </w:r>
      <w:r>
        <w:t xml:space="preserve">reactions are calculated for the low-energy dimers as a difference</w:t>
      </w:r>
      <w:r>
        <w:t xml:space="preserve"> </w:t>
      </w:r>
      <w:r>
        <w:t xml:space="preserve">between the corresponding values of energies and Gibbs energies for the</w:t>
      </w:r>
      <w:r>
        <w:t xml:space="preserve"> </w:t>
      </w:r>
      <w:r>
        <w:t xml:space="preserve">products and reactants. Obtained data are presented in Table 2. Negative</w:t>
      </w:r>
      <w:r>
        <w:t xml:space="preserve"> </w:t>
      </w:r>
      <w:r>
        <w:t xml:space="preserve">values of Δ</w:t>
      </w:r>
      <w:r>
        <w:rPr>
          <w:i/>
        </w:rPr>
        <w:t xml:space="preserve">E</w:t>
      </w:r>
      <w:r>
        <w:t xml:space="preserve"> </w:t>
      </w:r>
      <w:r>
        <w:t xml:space="preserve">and Δ</w:t>
      </w:r>
      <w:r>
        <w:rPr>
          <w:i/>
        </w:rPr>
        <w:t xml:space="preserve">G</w:t>
      </w:r>
      <w:r>
        <w:t xml:space="preserve"> </w:t>
      </w:r>
      <w:r>
        <w:t xml:space="preserve">show that the dimerization reaction is</w:t>
      </w:r>
      <w:r>
        <w:t xml:space="preserve"> </w:t>
      </w:r>
      <w:r>
        <w:t xml:space="preserve">energetically favorable. High temperature inhibits dimerization,</w:t>
      </w:r>
      <w:r>
        <w:t xml:space="preserve"> </w:t>
      </w:r>
      <w:r>
        <w:t xml:space="preserve">especially for the</w:t>
      </w:r>
      <w:r>
        <w:t xml:space="preserve"> </w:t>
      </w:r>
      <w:r>
        <w:t xml:space="preserve">CSi</w:t>
      </w:r>
      <w:r>
        <w:rPr>
          <w:vertAlign w:val="subscript"/>
        </w:rPr>
        <w:t xml:space="preserve">5</w:t>
      </w:r>
      <w:r>
        <w:t xml:space="preserve">H</w:t>
      </w:r>
      <w:r>
        <w:rPr>
          <w:vertAlign w:val="subscript"/>
        </w:rPr>
        <w:t xml:space="preserve">6</w:t>
      </w:r>
      <w:r>
        <w:t xml:space="preserve">N</w:t>
      </w:r>
      <w:r>
        <w:rPr>
          <w:vertAlign w:val="subscript"/>
        </w:rPr>
        <w:t xml:space="preserve">12</w:t>
      </w:r>
      <w:r>
        <w:t xml:space="preserve">O</w:t>
      </w:r>
      <w:r>
        <w:rPr>
          <w:vertAlign w:val="subscript"/>
        </w:rPr>
        <w:t xml:space="preserve">12</w:t>
      </w:r>
      <w:r>
        <w:t xml:space="preserve"> </w:t>
      </w:r>
      <w:r>
        <w:t xml:space="preserve">cage. However, Δ</w:t>
      </w:r>
      <w:r>
        <w:rPr>
          <w:i/>
        </w:rPr>
        <w:t xml:space="preserve">G</w:t>
      </w:r>
      <w:r>
        <w:t xml:space="preserve"> </w:t>
      </w:r>
      <w:r>
        <w:t xml:space="preserve">remains negative for all considered dimers even</w:t>
      </w:r>
      <w:r>
        <w:t xml:space="preserve"> </w:t>
      </w:r>
      <w:r>
        <w:t xml:space="preserve">at very high temperature of 3000 K.</w:t>
      </w:r>
    </w:p>
    <w:p>
      <w:pPr>
        <w:pStyle w:val="BodyText"/>
      </w:pPr>
      <w:r>
        <w:br w:type="textWrapping"/>
      </w:r>
    </w:p>
    <w:p>
      <w:pPr>
        <w:pStyle w:val="TableCaption"/>
      </w:pPr>
      <w:r>
        <w:t xml:space="preserve">. Energies (Δ</w:t>
      </w:r>
      <w:r>
        <w:rPr>
          <w:i/>
        </w:rPr>
        <w:t xml:space="preserve">E</w:t>
      </w:r>
      <w:r>
        <w:t xml:space="preserve">, eV) and Gibbs energies (Δ</w:t>
      </w:r>
      <w:r>
        <w:rPr>
          <w:i/>
        </w:rPr>
        <w:t xml:space="preserve">G</w:t>
      </w:r>
      <w:r>
        <w:t xml:space="preserve">, kJ/mol) of</w:t>
      </w:r>
      <w:r>
        <w:t xml:space="preserve"> </w:t>
      </w:r>
      <w:r>
        <w:t xml:space="preserve">dimerization reactions 2M + 2CH</w:t>
      </w:r>
      <w:r>
        <w:rPr>
          <w:vertAlign w:val="subscript"/>
        </w:rPr>
        <w:t xml:space="preserve">2</w:t>
      </w:r>
      <w:r>
        <w:t xml:space="preserve"> </w:t>
      </w:r>
      <w:r>
        <w:t xml:space="preserve">→ D +</w:t>
      </w:r>
      <w:r>
        <w:t xml:space="preserve"> </w:t>
      </w:r>
      <w:r>
        <w:t xml:space="preserve">4NX</w:t>
      </w:r>
      <w:r>
        <w:rPr>
          <w:vertAlign w:val="subscript"/>
        </w:rPr>
        <w:t xml:space="preserve">2</w:t>
      </w:r>
      <w:r>
        <w:t xml:space="preserve"> </w:t>
      </w:r>
      <w:r>
        <w:t xml:space="preserve">(X=O or F; M = monomer CL-20,</w:t>
      </w:r>
      <w:r>
        <w:t xml:space="preserve"> </w:t>
      </w:r>
      <w:r>
        <w:t xml:space="preserve">CSi</w:t>
      </w:r>
      <w:r>
        <w:rPr>
          <w:vertAlign w:val="subscript"/>
        </w:rPr>
        <w:t xml:space="preserve">5</w:t>
      </w:r>
      <w:r>
        <w:t xml:space="preserve">H</w:t>
      </w:r>
      <w:r>
        <w:rPr>
          <w:vertAlign w:val="subscript"/>
        </w:rPr>
        <w:t xml:space="preserve">6</w:t>
      </w:r>
      <w:r>
        <w:t xml:space="preserve">N</w:t>
      </w:r>
      <w:r>
        <w:rPr>
          <w:vertAlign w:val="subscript"/>
        </w:rPr>
        <w:t xml:space="preserve">12</w:t>
      </w:r>
      <w:r>
        <w:t xml:space="preserve">O</w:t>
      </w:r>
      <w:r>
        <w:rPr>
          <w:vertAlign w:val="subscript"/>
        </w:rPr>
        <w:t xml:space="preserve">12</w:t>
      </w:r>
      <w:r>
        <w:t xml:space="preserve"> </w:t>
      </w:r>
      <w:r>
        <w:t xml:space="preserve">or</w:t>
      </w:r>
      <w:r>
        <w:t xml:space="preserve"> </w:t>
      </w:r>
      <w:r>
        <w:t xml:space="preserve">C</w:t>
      </w:r>
      <w:r>
        <w:rPr>
          <w:vertAlign w:val="subscript"/>
        </w:rPr>
        <w:t xml:space="preserve">4</w:t>
      </w:r>
      <w:r>
        <w:t xml:space="preserve">Si</w:t>
      </w:r>
      <w:r>
        <w:rPr>
          <w:vertAlign w:val="subscript"/>
        </w:rPr>
        <w:t xml:space="preserve">2</w:t>
      </w:r>
      <w:r>
        <w:t xml:space="preserve">H</w:t>
      </w:r>
      <w:r>
        <w:rPr>
          <w:vertAlign w:val="subscript"/>
        </w:rPr>
        <w:t xml:space="preserve">6</w:t>
      </w:r>
      <w:r>
        <w:t xml:space="preserve">N</w:t>
      </w:r>
      <w:r>
        <w:rPr>
          <w:vertAlign w:val="subscript"/>
        </w:rPr>
        <w:t xml:space="preserve">12</w:t>
      </w:r>
      <w:r>
        <w:t xml:space="preserve">F</w:t>
      </w:r>
      <w:r>
        <w:rPr>
          <w:vertAlign w:val="subscript"/>
        </w:rPr>
        <w:t xml:space="preserve">12</w:t>
      </w:r>
      <w:r>
        <w:t xml:space="preserve">;</w:t>
      </w:r>
      <w:r>
        <w:t xml:space="preserve"> </w:t>
      </w:r>
      <w:r>
        <w:t xml:space="preserve">D is the corresponding low-energy dimer, presented in Fig. 3). Binding</w:t>
      </w:r>
      <w:r>
        <w:t xml:space="preserve"> </w:t>
      </w:r>
      <w:r>
        <w:t xml:space="preserve">energies (</w:t>
      </w:r>
      <w:r>
        <w:rPr>
          <w:i/>
        </w:rPr>
        <w:t xml:space="preserve">BE</w:t>
      </w:r>
      <w:r>
        <w:t xml:space="preserve">, eV) for the N–CH</w:t>
      </w:r>
      <w:r>
        <w:rPr>
          <w:vertAlign w:val="subscript"/>
        </w:rPr>
        <w:t xml:space="preserve">2</w:t>
      </w:r>
      <w:r>
        <w:t xml:space="preserve"> </w:t>
      </w:r>
      <w:r>
        <w:t xml:space="preserve">bonds in the</w:t>
      </w:r>
      <w:r>
        <w:t xml:space="preserve"> </w:t>
      </w:r>
      <w:r>
        <w:t xml:space="preserve">dimers are also presented. .</w:t>
      </w:r>
      <w:r>
        <w:t xml:space="preserve"> </w:t>
      </w:r>
    </w:p>
    <w:tbl>
      <w:tblPr>
        <w:tblStyle w:val="TableNormal"/>
        <w:tblW w:type="pct" w:w="0.0"/>
        <w:tblLook/>
        <w:tblCaption w:val=". Energies (ΔE, eV) and Gibbs energies (ΔG, kJ/mol) of dimerization reactions 2M + 2CH2 → D + 4NX2 (X=O or F; M = monomer CL-20, CSi5H6N12O12 or C4Si2H6N12F12; D is the corresponding low-energy dimer, presented in Fig. 3). Binding energies (BE, eV) for the N–CH2 bonds in the dimers are also presented. . "/>
      </w:tblPr>
      <w:tblGrid/>
      <w:tr>
        <w:tc>
          <w:p>
            <w:pPr>
              <w:pStyle w:val="Compact"/>
              <w:jc w:val="center"/>
            </w:pPr>
            <w:r>
              <w:t xml:space="preserve">Dimer</w:t>
            </w:r>
          </w:p>
        </w:tc>
        <w:tc>
          <w:p>
            <w:pPr>
              <w:pStyle w:val="Compact"/>
              <w:jc w:val="center"/>
            </w:pPr>
            <w:r>
              <w:t xml:space="preserve">Δ</w:t>
            </w:r>
            <w:r>
              <w:rPr>
                <w:i/>
              </w:rPr>
              <w:t xml:space="preserve">E</w:t>
            </w:r>
          </w:p>
        </w:tc>
        <w:tc>
          <w:p>
            <w:pPr>
              <w:pStyle w:val="Compact"/>
              <w:jc w:val="center"/>
            </w:pPr>
            <w:r>
              <w:t xml:space="preserve">Δ</w:t>
            </w:r>
            <w:r>
              <w:rPr>
                <w:i/>
              </w:rPr>
              <w:t xml:space="preserve">G</w:t>
            </w:r>
            <w:r>
              <w:t xml:space="preserve"> </w:t>
            </w:r>
            <w:r>
              <w:t xml:space="preserve">(300 K)</w:t>
            </w:r>
          </w:p>
        </w:tc>
        <w:tc>
          <w:p>
            <w:pPr>
              <w:pStyle w:val="Compact"/>
              <w:jc w:val="center"/>
            </w:pPr>
            <w:r>
              <w:t xml:space="preserve">Δ</w:t>
            </w:r>
            <w:r>
              <w:rPr>
                <w:i/>
              </w:rPr>
              <w:t xml:space="preserve">G</w:t>
            </w:r>
            <w:r>
              <w:t xml:space="preserve"> </w:t>
            </w:r>
            <w:r>
              <w:t xml:space="preserve">(3000 K)</w:t>
            </w:r>
          </w:p>
        </w:tc>
        <w:tc>
          <w:p>
            <w:pPr>
              <w:pStyle w:val="Compact"/>
              <w:jc w:val="center"/>
            </w:pPr>
            <w:r>
              <w:t xml:space="preserve">BE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D1-(1)</w:t>
            </w:r>
          </w:p>
        </w:tc>
        <w:tc>
          <w:p>
            <w:pPr>
              <w:pStyle w:val="Compact"/>
              <w:jc w:val="center"/>
            </w:pPr>
            <w:r>
              <w:t xml:space="preserve">-8.61</w:t>
            </w:r>
          </w:p>
        </w:tc>
        <w:tc>
          <w:p>
            <w:pPr>
              <w:pStyle w:val="Compact"/>
              <w:jc w:val="center"/>
            </w:pPr>
            <w:r>
              <w:t xml:space="preserve">-812.0</w:t>
            </w:r>
          </w:p>
        </w:tc>
        <w:tc>
          <w:p>
            <w:pPr>
              <w:pStyle w:val="Compact"/>
              <w:jc w:val="center"/>
            </w:pPr>
            <w:r>
              <w:t xml:space="preserve">-260.6</w:t>
            </w:r>
          </w:p>
        </w:tc>
        <w:tc>
          <w:p>
            <w:pPr>
              <w:pStyle w:val="Compact"/>
              <w:jc w:val="center"/>
            </w:pPr>
            <w:r>
              <w:t xml:space="preserve">4.39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D2-(1)</w:t>
            </w:r>
          </w:p>
        </w:tc>
        <w:tc>
          <w:p>
            <w:pPr>
              <w:pStyle w:val="Compact"/>
              <w:jc w:val="center"/>
            </w:pPr>
            <w:r>
              <w:t xml:space="preserve">-8.32</w:t>
            </w:r>
          </w:p>
        </w:tc>
        <w:tc>
          <w:p>
            <w:pPr>
              <w:pStyle w:val="Compact"/>
              <w:jc w:val="center"/>
            </w:pPr>
            <w:r>
              <w:t xml:space="preserve">-771.6</w:t>
            </w:r>
          </w:p>
        </w:tc>
        <w:tc>
          <w:p>
            <w:pPr>
              <w:pStyle w:val="Compact"/>
              <w:jc w:val="center"/>
            </w:pPr>
            <w:r>
              <w:t xml:space="preserve">-68.5</w:t>
            </w:r>
          </w:p>
        </w:tc>
        <w:tc>
          <w:p>
            <w:pPr>
              <w:pStyle w:val="Compact"/>
              <w:jc w:val="center"/>
            </w:pPr>
            <w:r>
              <w:t xml:space="preserve">4.97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D3-(1)</w:t>
            </w:r>
          </w:p>
        </w:tc>
        <w:tc>
          <w:p>
            <w:pPr>
              <w:pStyle w:val="Compact"/>
              <w:jc w:val="center"/>
            </w:pPr>
            <w:r>
              <w:t xml:space="preserve">-8.4</w:t>
            </w:r>
          </w:p>
        </w:tc>
        <w:tc>
          <w:p>
            <w:pPr>
              <w:pStyle w:val="Compact"/>
              <w:jc w:val="center"/>
            </w:pPr>
            <w:r>
              <w:t xml:space="preserve">-786.1</w:t>
            </w:r>
          </w:p>
        </w:tc>
        <w:tc>
          <w:p>
            <w:pPr>
              <w:pStyle w:val="Compact"/>
              <w:jc w:val="center"/>
            </w:pPr>
            <w:r>
              <w:t xml:space="preserve">-143.8</w:t>
            </w:r>
          </w:p>
        </w:tc>
        <w:tc>
          <w:p>
            <w:pPr>
              <w:pStyle w:val="Compact"/>
              <w:jc w:val="center"/>
            </w:pPr>
            <w:r>
              <w:t xml:space="preserve">4.73</w:t>
            </w:r>
          </w:p>
        </w:tc>
      </w:tr>
    </w:tbl>
    <w:p>
      <w:pPr>
        <w:pStyle w:val="BodyText"/>
      </w:pPr>
      <w:r>
        <w:t xml:space="preserve">To gain further insight concerning the dimerization process, we</w:t>
      </w:r>
      <w:r>
        <w:t xml:space="preserve"> </w:t>
      </w:r>
      <w:r>
        <w:t xml:space="preserve">calculate the binding energies (</w:t>
      </w:r>
      <w:r>
        <w:rPr>
          <w:i/>
        </w:rPr>
        <w:t xml:space="preserve">BE</w:t>
      </w:r>
      <w:r>
        <w:t xml:space="preserve">) between nitrogen atoms and</w:t>
      </w:r>
      <w:r>
        <w:t xml:space="preserve"> </w:t>
      </w:r>
      <w:r>
        <w:t xml:space="preserve">methylene bridges. In every dimer, two monomers are linked together via</w:t>
      </w:r>
      <w:r>
        <w:t xml:space="preserve"> </w:t>
      </w:r>
      <w:r>
        <w:t xml:space="preserve">four N–CH</w:t>
      </w:r>
      <w:r>
        <w:rPr>
          <w:vertAlign w:val="subscript"/>
        </w:rPr>
        <w:t xml:space="preserve">2</w:t>
      </w:r>
      <w:r>
        <w:t xml:space="preserve"> </w:t>
      </w:r>
      <w:r>
        <w:t xml:space="preserve">bonds, see Fig. 3. The breaking of these</w:t>
      </w:r>
      <w:r>
        <w:t xml:space="preserve"> </w:t>
      </w:r>
      <w:r>
        <w:t xml:space="preserve">bonds leads to the dimer separation into four fragments (two</w:t>
      </w:r>
      <w:r>
        <w:t xml:space="preserve"> </w:t>
      </w:r>
      <w:r>
        <w:t xml:space="preserve">CH</w:t>
      </w:r>
      <w:r>
        <w:rPr>
          <w:vertAlign w:val="subscript"/>
        </w:rPr>
        <w:t xml:space="preserve">2</w:t>
      </w:r>
      <w:r>
        <w:t xml:space="preserve">s and two cages). So, we define</w:t>
      </w:r>
      <w:r>
        <w:t xml:space="preserve"> </w:t>
      </w:r>
      <w:r>
        <w:rPr>
          <w:i/>
        </w:rPr>
        <w:t xml:space="preserve">BE</w:t>
      </w:r>
      <w:r>
        <w:t xml:space="preserve"> </w:t>
      </w:r>
      <w:r>
        <w:t xml:space="preserve">of</w:t>
      </w:r>
      <w:r>
        <w:t xml:space="preserve"> </w:t>
      </w:r>
      <w:r>
        <w:t xml:space="preserve">N–CH</w:t>
      </w:r>
      <w:r>
        <w:rPr>
          <w:vertAlign w:val="subscript"/>
        </w:rPr>
        <w:t xml:space="preserve">2</w:t>
      </w:r>
      <w:r>
        <w:t xml:space="preserve"> </w:t>
      </w:r>
      <w:r>
        <w:t xml:space="preserve">bonds as the quarter of energy difference between</w:t>
      </w:r>
      <w:r>
        <w:t xml:space="preserve"> </w:t>
      </w:r>
      <w:r>
        <w:t xml:space="preserve">these fragments and entire dimer. Obtained</w:t>
      </w:r>
      <w:r>
        <w:t xml:space="preserve"> </w:t>
      </w:r>
      <w:r>
        <w:rPr>
          <w:i/>
        </w:rPr>
        <w:t xml:space="preserve">BE</w:t>
      </w:r>
      <w:r>
        <w:t xml:space="preserve">s are also presented</w:t>
      </w:r>
      <w:r>
        <w:t xml:space="preserve"> </w:t>
      </w:r>
      <w:r>
        <w:t xml:space="preserve">in Table 2. These values of</w:t>
      </w:r>
      <w:r>
        <w:t xml:space="preserve"> </w:t>
      </w:r>
      <w:r>
        <w:rPr>
          <w:i/>
        </w:rPr>
        <w:t xml:space="preserve">BE</w:t>
      </w:r>
      <w:r>
        <w:t xml:space="preserve"> </w:t>
      </w:r>
      <w:r>
        <w:t xml:space="preserve">are even higher than the value of</w:t>
      </w:r>
      <w:r>
        <w:t xml:space="preserve"> </w:t>
      </w:r>
      <w:r>
        <w:rPr>
          <w:i/>
        </w:rPr>
        <w:t xml:space="preserve">BE</w:t>
      </w:r>
      <w:r>
        <w:t xml:space="preserve"> </w:t>
      </w:r>
      <w:r>
        <w:t xml:space="preserve">calculated at the same level of theory for the</w:t>
      </w:r>
      <w:r>
        <w:t xml:space="preserve"> </w:t>
      </w:r>
      <w:r>
        <w:t xml:space="preserve">CH</w:t>
      </w:r>
      <w:r>
        <w:rPr>
          <w:vertAlign w:val="subscript"/>
        </w:rPr>
        <w:t xml:space="preserve">3</w:t>
      </w:r>
      <w:r>
        <w:t xml:space="preserve">–NH</w:t>
      </w:r>
      <w:r>
        <w:rPr>
          <w:vertAlign w:val="subscript"/>
        </w:rPr>
        <w:t xml:space="preserve">2</w:t>
      </w:r>
      <w:r>
        <w:t xml:space="preserve"> </w:t>
      </w:r>
      <w:r>
        <w:t xml:space="preserve">molecule (4.20 eV). One can see</w:t>
      </w:r>
      <w:r>
        <w:t xml:space="preserve"> </w:t>
      </w:r>
      <w:r>
        <w:t xml:space="preserve">that</w:t>
      </w:r>
      <w:r>
        <w:t xml:space="preserve"> </w:t>
      </w:r>
      <w:r>
        <w:rPr>
          <w:i/>
        </w:rPr>
        <w:t xml:space="preserve">BE</w:t>
      </w:r>
      <w:r>
        <w:t xml:space="preserve">s for the Si-substituted dimers are significantly higher</w:t>
      </w:r>
      <w:r>
        <w:t xml:space="preserve"> </w:t>
      </w:r>
      <w:r>
        <w:t xml:space="preserve">than the corresponding values for the CL-20 dimer. Therefore,</w:t>
      </w:r>
      <w:r>
        <w:t xml:space="preserve"> </w:t>
      </w:r>
      <w:r>
        <w:t xml:space="preserve">Si-substituted cages possess a stronger connection with each other via</w:t>
      </w:r>
      <w:r>
        <w:t xml:space="preserve"> </w:t>
      </w:r>
      <w:r>
        <w:t xml:space="preserve">the methylene bridges than the pristine CL-20s.</w:t>
      </w:r>
    </w:p>
    <w:p>
      <w:pPr>
        <w:pStyle w:val="BodyText"/>
      </w:pPr>
      <w:r>
        <w:t xml:space="preserve">During the molecular dynamics simulation of heated dimers, we observe</w:t>
      </w:r>
      <w:r>
        <w:t xml:space="preserve"> </w:t>
      </w:r>
      <w:r>
        <w:t xml:space="preserve">the same pyrolysis mechanisms as for the corresponding monomers</w:t>
      </w:r>
      <w:r>
        <w:t xml:space="preserve"> </w:t>
      </w:r>
      <w:r>
        <w:t xml:space="preserve">(NO</w:t>
      </w:r>
      <w:r>
        <w:rPr>
          <w:vertAlign w:val="subscript"/>
        </w:rPr>
        <w:t xml:space="preserve">2</w:t>
      </w:r>
      <w:r>
        <w:t xml:space="preserve"> </w:t>
      </w:r>
      <w:r>
        <w:t xml:space="preserve">fission and O/F migration to Si). We have never</w:t>
      </w:r>
      <w:r>
        <w:t xml:space="preserve"> </w:t>
      </w:r>
      <w:r>
        <w:t xml:space="preserve">observed the contribution of methylene bridges to the initial</w:t>
      </w:r>
      <w:r>
        <w:t xml:space="preserve"> </w:t>
      </w:r>
      <w:r>
        <w:t xml:space="preserve">decomposition step. So, we conclude that dimers are approximately as</w:t>
      </w:r>
      <w:r>
        <w:t xml:space="preserve"> </w:t>
      </w:r>
      <w:r>
        <w:t xml:space="preserve">kinetically stable as the corresponding monomers.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31" w:name="uv-spectra-of-the-cl-20-derivatives-and-their-dimers"/>
      <w:bookmarkEnd w:id="31"/>
      <w:r>
        <w:t xml:space="preserve">UV spectra of the CL-20 derivatives and their</w:t>
      </w:r>
      <w:r>
        <w:t xml:space="preserve"> </w:t>
      </w:r>
      <w:r>
        <w:t xml:space="preserve">dimers</w:t>
      </w:r>
    </w:p>
    <w:p>
      <w:pPr>
        <w:pStyle w:val="FirstParagraph"/>
      </w:pPr>
      <w:r>
        <w:t xml:space="preserve">Optical spectra analysis is the common way for the experimental</w:t>
      </w:r>
      <w:r>
        <w:t xml:space="preserve"> </w:t>
      </w:r>
      <w:r>
        <w:t xml:space="preserve">detection of dimerization of isolated CL-20 or its derivatives.</w:t>
      </w:r>
      <w:r>
        <w:t xml:space="preserve"> </w:t>
      </w:r>
      <w:r>
        <w:t xml:space="preserve">According to our time-dependent density functional calculations, all</w:t>
      </w:r>
      <w:r>
        <w:t xml:space="preserve"> </w:t>
      </w:r>
      <w:r>
        <w:t xml:space="preserve">considered cages, as well as their dimers, are not active in the visible</w:t>
      </w:r>
      <w:r>
        <w:t xml:space="preserve"> </w:t>
      </w:r>
      <w:r>
        <w:t xml:space="preserve">range due to their hardness. However, they demonstrate an optical</w:t>
      </w:r>
      <w:r>
        <w:t xml:space="preserve"> </w:t>
      </w:r>
      <w:r>
        <w:t xml:space="preserve">response in the UV range (150 ÷ 250 nm). UV spectra for the CL-20,</w:t>
      </w:r>
      <w:r>
        <w:t xml:space="preserve"> </w:t>
      </w:r>
      <w:r>
        <w:t xml:space="preserve">CSi</w:t>
      </w:r>
      <w:r>
        <w:rPr>
          <w:vertAlign w:val="subscript"/>
        </w:rPr>
        <w:t xml:space="preserve">5</w:t>
      </w:r>
      <w:r>
        <w:t xml:space="preserve">H</w:t>
      </w:r>
      <w:r>
        <w:rPr>
          <w:vertAlign w:val="subscript"/>
        </w:rPr>
        <w:t xml:space="preserve">6</w:t>
      </w:r>
      <w:r>
        <w:t xml:space="preserve">N</w:t>
      </w:r>
      <w:r>
        <w:rPr>
          <w:vertAlign w:val="subscript"/>
        </w:rPr>
        <w:t xml:space="preserve">12</w:t>
      </w:r>
      <w:r>
        <w:t xml:space="preserve">O</w:t>
      </w:r>
      <w:r>
        <w:rPr>
          <w:vertAlign w:val="subscript"/>
        </w:rPr>
        <w:t xml:space="preserve">12</w:t>
      </w:r>
      <w:r>
        <w:t xml:space="preserve">,</w:t>
      </w:r>
      <w:r>
        <w:t xml:space="preserve"> </w:t>
      </w:r>
      <w:r>
        <w:t xml:space="preserve">and</w:t>
      </w:r>
      <w:r>
        <w:t xml:space="preserve"> </w:t>
      </w:r>
      <w:r>
        <w:t xml:space="preserve">C</w:t>
      </w:r>
      <w:r>
        <w:rPr>
          <w:vertAlign w:val="subscript"/>
        </w:rPr>
        <w:t xml:space="preserve">4</w:t>
      </w:r>
      <w:r>
        <w:t xml:space="preserve">Si</w:t>
      </w:r>
      <w:r>
        <w:rPr>
          <w:vertAlign w:val="subscript"/>
        </w:rPr>
        <w:t xml:space="preserve">2</w:t>
      </w:r>
      <w:r>
        <w:t xml:space="preserve">H</w:t>
      </w:r>
      <w:r>
        <w:rPr>
          <w:vertAlign w:val="subscript"/>
        </w:rPr>
        <w:t xml:space="preserve">6</w:t>
      </w:r>
      <w:r>
        <w:t xml:space="preserve">N</w:t>
      </w:r>
      <w:r>
        <w:rPr>
          <w:vertAlign w:val="subscript"/>
        </w:rPr>
        <w:t xml:space="preserve">12</w:t>
      </w:r>
      <w:r>
        <w:t xml:space="preserve">F</w:t>
      </w:r>
      <w:r>
        <w:rPr>
          <w:vertAlign w:val="subscript"/>
        </w:rPr>
        <w:t xml:space="preserve">12</w:t>
      </w:r>
      <w:r>
        <w:t xml:space="preserve"> </w:t>
      </w:r>
      <w:r>
        <w:t xml:space="preserve">systems as well as for the corresponding low-energy dimers are presented</w:t>
      </w:r>
      <w:r>
        <w:t xml:space="preserve"> </w:t>
      </w:r>
      <w:r>
        <w:t xml:space="preserve">in Fig. 5. Dimer formation leads to the redshifts on the spectra for all</w:t>
      </w:r>
      <w:r>
        <w:t xml:space="preserve"> </w:t>
      </w:r>
      <w:r>
        <w:t xml:space="preserve">considered cages. This effect is expected with regard to larger</w:t>
      </w:r>
      <w:r>
        <w:t xml:space="preserve"> </w:t>
      </w:r>
      <w:r>
        <w:t xml:space="preserve">effective sizes of dimers in comparison with monomers. The values of</w:t>
      </w:r>
      <w:r>
        <w:t xml:space="preserve"> </w:t>
      </w:r>
      <w:r>
        <w:t xml:space="preserve">redshifts are 29, 25, and 18 nm for the CL-20,</w:t>
      </w:r>
      <w:r>
        <w:t xml:space="preserve"> </w:t>
      </w:r>
      <w:r>
        <w:t xml:space="preserve">CSi</w:t>
      </w:r>
      <w:r>
        <w:rPr>
          <w:vertAlign w:val="subscript"/>
        </w:rPr>
        <w:t xml:space="preserve">5</w:t>
      </w:r>
      <w:r>
        <w:t xml:space="preserve">H</w:t>
      </w:r>
      <w:r>
        <w:rPr>
          <w:vertAlign w:val="subscript"/>
        </w:rPr>
        <w:t xml:space="preserve">6</w:t>
      </w:r>
      <w:r>
        <w:t xml:space="preserve">N</w:t>
      </w:r>
      <w:r>
        <w:rPr>
          <w:vertAlign w:val="subscript"/>
        </w:rPr>
        <w:t xml:space="preserve">12</w:t>
      </w:r>
      <w:r>
        <w:t xml:space="preserve">O</w:t>
      </w:r>
      <w:r>
        <w:rPr>
          <w:vertAlign w:val="subscript"/>
        </w:rPr>
        <w:t xml:space="preserve">12</w:t>
      </w:r>
      <w:r>
        <w:t xml:space="preserve">,</w:t>
      </w:r>
      <w:r>
        <w:t xml:space="preserve"> </w:t>
      </w:r>
      <w:r>
        <w:t xml:space="preserve">and</w:t>
      </w:r>
      <w:r>
        <w:t xml:space="preserve"> </w:t>
      </w:r>
      <w:r>
        <w:t xml:space="preserve">C</w:t>
      </w:r>
      <w:r>
        <w:rPr>
          <w:vertAlign w:val="subscript"/>
        </w:rPr>
        <w:t xml:space="preserve">4</w:t>
      </w:r>
      <w:r>
        <w:t xml:space="preserve">Si</w:t>
      </w:r>
      <w:r>
        <w:rPr>
          <w:vertAlign w:val="subscript"/>
        </w:rPr>
        <w:t xml:space="preserve">2</w:t>
      </w:r>
      <w:r>
        <w:t xml:space="preserve">H</w:t>
      </w:r>
      <w:r>
        <w:rPr>
          <w:vertAlign w:val="subscript"/>
        </w:rPr>
        <w:t xml:space="preserve">6</w:t>
      </w:r>
      <w:r>
        <w:t xml:space="preserve">N</w:t>
      </w:r>
      <w:r>
        <w:rPr>
          <w:vertAlign w:val="subscript"/>
        </w:rPr>
        <w:t xml:space="preserve">12</w:t>
      </w:r>
      <w:r>
        <w:t xml:space="preserve">F</w:t>
      </w:r>
      <w:r>
        <w:rPr>
          <w:vertAlign w:val="subscript"/>
        </w:rPr>
        <w:t xml:space="preserve">12</w:t>
      </w:r>
      <w:r>
        <w:t xml:space="preserve">,</w:t>
      </w:r>
      <w:r>
        <w:t xml:space="preserve"> </w:t>
      </w:r>
      <w:r>
        <w:t xml:space="preserve">respectively. These values are sufficient for the dimers formation</w:t>
      </w:r>
      <w:r>
        <w:t xml:space="preserve"> </w:t>
      </w:r>
      <w:r>
        <w:t xml:space="preserve">detection using their spectral analysis.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4177492" cy="12361220"/>
            <wp:effectExtent b="0" l="0" r="0" t="0"/>
            <wp:docPr descr="Calculated UV spectra of CL-20 (a), CSi5H6N12O12 (b) and C4Si2H6N12F12 (c) cages. Black and grey lines correspond to the monomers and dimers, respectively. Gauss broadening of spectral lines with σ = 10 nm is applied. Transitions energies and oscillators’ strengths are also available in Supplementary Materials.   " title="" id="1" name="Picture"/>
            <a:graphic>
              <a:graphicData uri="http://schemas.openxmlformats.org/drawingml/2006/picture">
                <pic:pic>
                  <pic:nvPicPr>
                    <pic:cNvPr descr="figures/Figure5/Figure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123612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Calculated UV spectra of CL-20 (a),</w:t>
      </w:r>
      <w:r>
        <w:t xml:space="preserve"> </w:t>
      </w:r>
      <w:r>
        <w:t xml:space="preserve">CSi</w:t>
      </w:r>
      <w:r>
        <w:rPr>
          <w:vertAlign w:val="subscript"/>
        </w:rPr>
        <w:t xml:space="preserve">5</w:t>
      </w:r>
      <w:r>
        <w:t xml:space="preserve">H</w:t>
      </w:r>
      <w:r>
        <w:rPr>
          <w:vertAlign w:val="subscript"/>
        </w:rPr>
        <w:t xml:space="preserve">6</w:t>
      </w:r>
      <w:r>
        <w:t xml:space="preserve">N</w:t>
      </w:r>
      <w:r>
        <w:rPr>
          <w:vertAlign w:val="subscript"/>
        </w:rPr>
        <w:t xml:space="preserve">12</w:t>
      </w:r>
      <w:r>
        <w:t xml:space="preserve">O</w:t>
      </w:r>
      <w:r>
        <w:rPr>
          <w:vertAlign w:val="subscript"/>
        </w:rPr>
        <w:t xml:space="preserve">12</w:t>
      </w:r>
      <w:r>
        <w:t xml:space="preserve"> </w:t>
      </w:r>
      <w:r>
        <w:t xml:space="preserve">(b) and</w:t>
      </w:r>
      <w:r>
        <w:t xml:space="preserve"> </w:t>
      </w:r>
      <w:r>
        <w:t xml:space="preserve">C</w:t>
      </w:r>
      <w:r>
        <w:rPr>
          <w:vertAlign w:val="subscript"/>
        </w:rPr>
        <w:t xml:space="preserve">4</w:t>
      </w:r>
      <w:r>
        <w:t xml:space="preserve">Si</w:t>
      </w:r>
      <w:r>
        <w:rPr>
          <w:vertAlign w:val="subscript"/>
        </w:rPr>
        <w:t xml:space="preserve">2</w:t>
      </w:r>
      <w:r>
        <w:t xml:space="preserve">H</w:t>
      </w:r>
      <w:r>
        <w:rPr>
          <w:vertAlign w:val="subscript"/>
        </w:rPr>
        <w:t xml:space="preserve">6</w:t>
      </w:r>
      <w:r>
        <w:t xml:space="preserve">N</w:t>
      </w:r>
      <w:r>
        <w:rPr>
          <w:vertAlign w:val="subscript"/>
        </w:rPr>
        <w:t xml:space="preserve">12</w:t>
      </w:r>
      <w:r>
        <w:t xml:space="preserve">F</w:t>
      </w:r>
      <w:r>
        <w:rPr>
          <w:vertAlign w:val="subscript"/>
        </w:rPr>
        <w:t xml:space="preserve">12</w:t>
      </w:r>
      <w:r>
        <w:t xml:space="preserve"> </w:t>
      </w:r>
      <w:r>
        <w:t xml:space="preserve">(c) cages. Black and grey lines correspond to the monomers and dimers,</w:t>
      </w:r>
      <w:r>
        <w:t xml:space="preserve"> </w:t>
      </w:r>
      <w:r>
        <w:t xml:space="preserve">respectively. Gauss broadening of spectral lines with </w:t>
      </w:r>
      <w:r>
        <w:rPr>
          <w:i/>
        </w:rPr>
        <w:t xml:space="preserve">σ</w:t>
      </w:r>
      <w:r>
        <w:t xml:space="preserve"> </w:t>
      </w:r>
      <w:r>
        <w:t xml:space="preserve">= 10 nm</w:t>
      </w:r>
      <w:r>
        <w:t xml:space="preserve"> </w:t>
      </w:r>
      <w:r>
        <w:t xml:space="preserve">is applied. Transitions energies and oscillators’ strengths are also</w:t>
      </w:r>
      <w:r>
        <w:t xml:space="preserve"> </w:t>
      </w:r>
      <w:r>
        <w:t xml:space="preserve">available in Supplementary Materials.  </w:t>
      </w:r>
      <w:r>
        <w:t xml:space="preserve"> </w:t>
      </w:r>
    </w:p>
    <w:p>
      <w:pPr>
        <w:pStyle w:val="Heading1"/>
      </w:pPr>
      <w:bookmarkStart w:id="33" w:name="conclusion"/>
      <w:bookmarkEnd w:id="33"/>
      <w:r>
        <w:t xml:space="preserve">CONCLUSION</w:t>
      </w:r>
    </w:p>
    <w:p>
      <w:pPr>
        <w:pStyle w:val="FirstParagraph"/>
      </w:pPr>
      <w:r>
        <w:t xml:space="preserve">Despite the impressive advances in preparing of co-crystals based on the</w:t>
      </w:r>
      <w:r>
        <w:t xml:space="preserve"> </w:t>
      </w:r>
      <w:r>
        <w:t xml:space="preserve">CL-20 cages, we believe that co-crystallization is not the only way for</w:t>
      </w:r>
      <w:r>
        <w:t xml:space="preserve"> </w:t>
      </w:r>
      <w:r>
        <w:t xml:space="preserve">improving the characteristics of CL-20. In particular, substituted CL-20</w:t>
      </w:r>
      <w:r>
        <w:t xml:space="preserve"> </w:t>
      </w:r>
      <w:r>
        <w:t xml:space="preserve">derivatives demonstrate some advantages over the pristine CL-20 and</w:t>
      </w:r>
      <w:r>
        <w:t xml:space="preserve"> </w:t>
      </w:r>
      <w:r>
        <w:t xml:space="preserve">other nitroamine high-energy systems. Computer simulation is a cheap and</w:t>
      </w:r>
      <w:r>
        <w:t xml:space="preserve"> </w:t>
      </w:r>
      <w:r>
        <w:t xml:space="preserve">suitable way for the selection of the most stable and powerful compounds</w:t>
      </w:r>
      <w:r>
        <w:t xml:space="preserve"> </w:t>
      </w:r>
      <w:r>
        <w:t xml:space="preserve">among a wide variety of CL-20 derivatives. Efforts to synthesize new</w:t>
      </w:r>
      <w:r>
        <w:t xml:space="preserve"> </w:t>
      </w:r>
      <w:r>
        <w:t xml:space="preserve">CL-20-like cages should be preceded by the comprehensive theoretical</w:t>
      </w:r>
      <w:r>
        <w:t xml:space="preserve"> </w:t>
      </w:r>
      <w:r>
        <w:t xml:space="preserve">studies.</w:t>
      </w:r>
    </w:p>
    <w:p>
      <w:pPr>
        <w:pStyle w:val="BodyText"/>
      </w:pPr>
      <w:r>
        <w:t xml:space="preserve">In the presented study, we consider pyrolysis mechanisms, stability, and</w:t>
      </w:r>
      <w:r>
        <w:t xml:space="preserve"> </w:t>
      </w:r>
      <w:r>
        <w:t xml:space="preserve">reactivity of two promising silicon CL-20 derivatives as well as their</w:t>
      </w:r>
      <w:r>
        <w:t xml:space="preserve"> </w:t>
      </w:r>
      <w:r>
        <w:t xml:space="preserve">dimers. We obtain that the presence of silicon atoms in the cage changes</w:t>
      </w:r>
      <w:r>
        <w:t xml:space="preserve"> </w:t>
      </w:r>
      <w:r>
        <w:t xml:space="preserve">the mechanisms of initial pyrolysis step, but does not significantly</w:t>
      </w:r>
      <w:r>
        <w:t xml:space="preserve"> </w:t>
      </w:r>
      <w:r>
        <w:t xml:space="preserve">reduce the stability of the cage. In addition, Si-containing cages are</w:t>
      </w:r>
      <w:r>
        <w:t xml:space="preserve"> </w:t>
      </w:r>
      <w:r>
        <w:t xml:space="preserve">more prone to dimerization. On the other hand, the simultaneous presence</w:t>
      </w:r>
      <w:r>
        <w:t xml:space="preserve"> </w:t>
      </w:r>
      <w:r>
        <w:t xml:space="preserve">of silicon and fluorine atoms results in the compound instability.</w:t>
      </w:r>
    </w:p>
    <w:p>
      <w:pPr>
        <w:pStyle w:val="BodyText"/>
      </w:pPr>
      <w:r>
        <w:t xml:space="preserve">With regard to the presented results as well as the previously published</w:t>
      </w:r>
      <w:r>
        <w:t xml:space="preserve"> </w:t>
      </w:r>
      <w:r>
        <w:t xml:space="preserve">data, the</w:t>
      </w:r>
      <w:r>
        <w:t xml:space="preserve"> </w:t>
      </w:r>
      <w:r>
        <w:t xml:space="preserve">CSi</w:t>
      </w:r>
      <w:r>
        <w:rPr>
          <w:vertAlign w:val="subscript"/>
        </w:rPr>
        <w:t xml:space="preserve">5</w:t>
      </w:r>
      <w:r>
        <w:t xml:space="preserve">H</w:t>
      </w:r>
      <w:r>
        <w:rPr>
          <w:vertAlign w:val="subscript"/>
        </w:rPr>
        <w:t xml:space="preserve">6</w:t>
      </w:r>
      <w:r>
        <w:t xml:space="preserve">N</w:t>
      </w:r>
      <w:r>
        <w:rPr>
          <w:vertAlign w:val="subscript"/>
        </w:rPr>
        <w:t xml:space="preserve">12</w:t>
      </w:r>
      <w:r>
        <w:t xml:space="preserve">O</w:t>
      </w:r>
      <w:r>
        <w:rPr>
          <w:vertAlign w:val="subscript"/>
        </w:rPr>
        <w:t xml:space="preserve">12</w:t>
      </w:r>
      <w:r>
        <w:t xml:space="preserve"> </w:t>
      </w:r>
      <w:r>
        <w:t xml:space="preserve">compound seems to be the most attractive structure. It demonstrates</w:t>
      </w:r>
      <w:r>
        <w:t xml:space="preserve"> </w:t>
      </w:r>
      <w:r>
        <w:t xml:space="preserve">higher crystalline densities, decomposition reaction heats, detonation</w:t>
      </w:r>
      <w:r>
        <w:t xml:space="preserve"> </w:t>
      </w:r>
      <w:r>
        <w:t xml:space="preserve">velocities, detonation pressures, and explosion temperatures than the</w:t>
      </w:r>
      <w:r>
        <w:t xml:space="preserve"> </w:t>
      </w:r>
      <w:r>
        <w:t xml:space="preserve">pristine CL-20.(Tan et al. 2014) At the same time, according to the</w:t>
      </w:r>
      <w:r>
        <w:t xml:space="preserve"> </w:t>
      </w:r>
      <w:r>
        <w:t xml:space="preserve">presented results, its kinetic stability, frontier orbitals, and</w:t>
      </w:r>
      <w:r>
        <w:t xml:space="preserve"> </w:t>
      </w:r>
      <w:r>
        <w:t xml:space="preserve">chemical reactivity is very similar to the CL-20 characteristics. The</w:t>
      </w:r>
      <w:r>
        <w:t xml:space="preserve"> </w:t>
      </w:r>
      <w:r>
        <w:t xml:space="preserve">possibility of</w:t>
      </w:r>
      <w:r>
        <w:t xml:space="preserve"> </w:t>
      </w:r>
      <w:r>
        <w:t xml:space="preserve">CSi</w:t>
      </w:r>
      <w:r>
        <w:rPr>
          <w:vertAlign w:val="subscript"/>
        </w:rPr>
        <w:t xml:space="preserve">5</w:t>
      </w:r>
      <w:r>
        <w:t xml:space="preserve">H</w:t>
      </w:r>
      <w:r>
        <w:rPr>
          <w:vertAlign w:val="subscript"/>
        </w:rPr>
        <w:t xml:space="preserve">6</w:t>
      </w:r>
      <w:r>
        <w:t xml:space="preserve">N</w:t>
      </w:r>
      <w:r>
        <w:rPr>
          <w:vertAlign w:val="subscript"/>
        </w:rPr>
        <w:t xml:space="preserve">12</w:t>
      </w:r>
      <w:r>
        <w:t xml:space="preserve">O</w:t>
      </w:r>
      <w:r>
        <w:rPr>
          <w:vertAlign w:val="subscript"/>
        </w:rPr>
        <w:t xml:space="preserve">12</w:t>
      </w:r>
      <w:r>
        <w:t xml:space="preserve"> </w:t>
      </w:r>
      <w:r>
        <w:t xml:space="preserve">synthesis from the silicon analogies of benzylamine and glyoxal or other</w:t>
      </w:r>
      <w:r>
        <w:t xml:space="preserve"> </w:t>
      </w:r>
      <w:r>
        <w:t xml:space="preserve">precursors is a rather difficult task, which requires particular</w:t>
      </w:r>
      <w:r>
        <w:t xml:space="preserve"> </w:t>
      </w:r>
      <w:r>
        <w:t xml:space="preserve">consideration.</w:t>
      </w:r>
    </w:p>
    <w:p>
      <w:pPr>
        <w:pStyle w:val="Heading1"/>
      </w:pPr>
      <w:bookmarkStart w:id="34" w:name="acknowledgements"/>
      <w:bookmarkEnd w:id="34"/>
      <w:r>
        <w:t xml:space="preserve">Acknowledgements</w:t>
      </w:r>
    </w:p>
    <w:p>
      <w:pPr>
        <w:pStyle w:val="FirstParagraph"/>
      </w:pPr>
      <w:r>
        <w:t xml:space="preserve">The reported study was funded by RFBR according to the research project</w:t>
      </w:r>
      <w:r>
        <w:t xml:space="preserve"> </w:t>
      </w:r>
      <w:r>
        <w:t xml:space="preserve">No. 18-32-20139 mol_a_ved. We are grateful to Maria Katina for the</w:t>
      </w:r>
      <w:r>
        <w:t xml:space="preserve"> </w:t>
      </w:r>
      <w:r>
        <w:t xml:space="preserve">preparation of graphical abstract figure.</w:t>
      </w:r>
    </w:p>
    <w:p>
      <w:pPr>
        <w:pStyle w:val="Heading1"/>
      </w:pPr>
      <w:bookmarkStart w:id="35" w:name="conflict-of-interest"/>
      <w:bookmarkEnd w:id="35"/>
      <w:r>
        <w:t xml:space="preserve">Conflict of interest</w:t>
      </w:r>
    </w:p>
    <w:p>
      <w:pPr>
        <w:pStyle w:val="FirstParagraph"/>
      </w:pPr>
      <w:r>
        <w:t xml:space="preserve">The authors declare that there is no conflict of interests regarding the</w:t>
      </w:r>
      <w:r>
        <w:t xml:space="preserve"> </w:t>
      </w:r>
      <w:r>
        <w:t xml:space="preserve">publication of this paper.</w:t>
      </w:r>
    </w:p>
    <w:p>
      <w:pPr>
        <w:pStyle w:val="Heading1"/>
      </w:pPr>
      <w:bookmarkStart w:id="36" w:name="references"/>
      <w:bookmarkEnd w:id="36"/>
      <w:r>
        <w:t xml:space="preserve">References</w:t>
      </w:r>
    </w:p>
    <w:p>
      <w:pPr>
        <w:pStyle w:val="FirstParagraph"/>
      </w:pPr>
      <w:r>
        <w:t xml:space="preserve">Nair, U. R., R. Sivabalan, G. M. Gore, M. Geetha, S. N. Asthana, and H. Singh. 2005.</w:t>
      </w:r>
      <w:r>
        <w:t xml:space="preserve"> </w:t>
      </w:r>
      <w:r>
        <w:t xml:space="preserve">“</w:t>
      </w:r>
      <w:r>
        <w:t xml:space="preserve">Hexanitrohexaazaisowurtzitane (</w:t>
      </w:r>
      <w:r>
        <w:t xml:space="preserve">CL</w:t>
      </w:r>
      <w:r>
        <w:t xml:space="preserve">-20) and</w:t>
      </w:r>
      <w:r>
        <w:t xml:space="preserve"> </w:t>
      </w:r>
      <w:r>
        <w:t xml:space="preserve">CL</w:t>
      </w:r>
      <w:r>
        <w:t xml:space="preserve">-20-Based Formulations (Review)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Combustion Explosion, and Shock Waves</w:t>
      </w:r>
      <w:r>
        <w:t xml:space="preserve"> </w:t>
      </w:r>
      <w:r>
        <w:t xml:space="preserve">41 (2): 121–32.</w:t>
      </w:r>
      <w:r>
        <w:t xml:space="preserve"> </w:t>
      </w:r>
      <w:hyperlink r:id="rId37">
        <w:r>
          <w:rPr>
            <w:rStyle w:val="Hyperlink"/>
          </w:rPr>
          <w:t xml:space="preserve">https://doi.org/10.1007/s10573-005-0014-2.</w:t>
        </w:r>
      </w:hyperlink>
    </w:p>
    <w:p>
      <w:pPr>
        <w:pStyle w:val="BodyText"/>
      </w:pPr>
      <w:r>
        <w:t xml:space="preserve">Simpson, R. L., P. A. Urtiew, D. L. Ornellas, G. L. Moody, K. J. Scribner, and D. M. Hoffman. 1997.</w:t>
      </w:r>
      <w:r>
        <w:t xml:space="preserve"> </w:t>
      </w:r>
      <w:r>
        <w:t xml:space="preserve">“</w:t>
      </w:r>
      <w:r>
        <w:t xml:space="preserve">CL</w:t>
      </w:r>
      <w:r>
        <w:t xml:space="preserve">-20 Performance Exceeds That of</w:t>
      </w:r>
      <w:r>
        <w:t xml:space="preserve"> </w:t>
      </w:r>
      <w:r>
        <w:t xml:space="preserve">HMX</w:t>
      </w:r>
      <w:r>
        <w:t xml:space="preserve"> </w:t>
      </w:r>
      <w:r>
        <w:t xml:space="preserve">and Its Sensitivity Is Moderate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Propellants Explosives, Pyrotechnics</w:t>
      </w:r>
      <w:r>
        <w:t xml:space="preserve"> </w:t>
      </w:r>
      <w:r>
        <w:t xml:space="preserve">22 (5): 249–55.</w:t>
      </w:r>
      <w:r>
        <w:t xml:space="preserve"> </w:t>
      </w:r>
      <w:hyperlink r:id="rId38">
        <w:r>
          <w:rPr>
            <w:rStyle w:val="Hyperlink"/>
          </w:rPr>
          <w:t xml:space="preserve">https://doi.org/10.1002/prep.19970220502.</w:t>
        </w:r>
      </w:hyperlink>
    </w:p>
    <w:p>
      <w:pPr>
        <w:pStyle w:val="BodyText"/>
      </w:pPr>
      <w:r>
        <w:t xml:space="preserve">Sysolyatin, Sergey V, Antonina A Lobanova, Yuliya T Chernikova, and Gennady V Sakovich. 2005.</w:t>
      </w:r>
      <w:r>
        <w:t xml:space="preserve"> </w:t>
      </w:r>
      <w:r>
        <w:t xml:space="preserve">“</w:t>
      </w:r>
      <w:r>
        <w:t xml:space="preserve">Methods of Synthesis and Properties of Hexanitrohexaazaisowurtzitane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Russian Chemical Reviews</w:t>
      </w:r>
      <w:r>
        <w:t xml:space="preserve"> </w:t>
      </w:r>
      <w:r>
        <w:t xml:space="preserve">74 (8): 757–64.</w:t>
      </w:r>
      <w:r>
        <w:t xml:space="preserve"> </w:t>
      </w:r>
      <w:hyperlink r:id="rId39">
        <w:r>
          <w:rPr>
            <w:rStyle w:val="Hyperlink"/>
          </w:rPr>
          <w:t xml:space="preserve">https://doi.org/10.1070/rc2005v074n08abeh001179.</w:t>
        </w:r>
      </w:hyperlink>
    </w:p>
    <w:p>
      <w:pPr>
        <w:pStyle w:val="BodyText"/>
      </w:pPr>
      <w:r>
        <w:t xml:space="preserve">Russell, T. P., P. J. Miller, G. J. Piermarini, and S. Block. 1993.</w:t>
      </w:r>
      <w:r>
        <w:t xml:space="preserve"> </w:t>
      </w:r>
      <w:r>
        <w:t xml:space="preserve">“</w:t>
      </w:r>
      <w:r>
        <w:t xml:space="preserve">Pressure/Temperature Phase Diagram of Hexanitrohexaazaisowurtzitane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The Journal of Physical Chemistry</w:t>
      </w:r>
      <w:r>
        <w:t xml:space="preserve"> </w:t>
      </w:r>
      <w:r>
        <w:t xml:space="preserve">97 (9): 1993–97.</w:t>
      </w:r>
      <w:r>
        <w:t xml:space="preserve"> </w:t>
      </w:r>
      <w:hyperlink r:id="rId40">
        <w:r>
          <w:rPr>
            <w:rStyle w:val="Hyperlink"/>
          </w:rPr>
          <w:t xml:space="preserve">https://doi.org/10.1021/j100111a043.</w:t>
        </w:r>
      </w:hyperlink>
    </w:p>
    <w:p>
      <w:pPr>
        <w:pStyle w:val="BodyText"/>
      </w:pPr>
      <w:r>
        <w:t xml:space="preserve">Tan, Jia-Jin, Guang-Fu Ji, Xiang-Rong Chen, and Zhe Li. 2011.</w:t>
      </w:r>
      <w:r>
        <w:t xml:space="preserve"> </w:t>
      </w:r>
      <w:r>
        <w:t xml:space="preserve">“</w:t>
      </w:r>
      <w:r>
        <w:t xml:space="preserve">Structure Equation of State and Elasticity of Crystalline</w:t>
      </w:r>
      <w:r>
        <w:t xml:space="preserve"> </w:t>
      </w:r>
      <w:r>
        <w:t xml:space="preserve">HNIW</w:t>
      </w:r>
      <w:r>
        <w:t xml:space="preserve"> </w:t>
      </w:r>
      <w:r>
        <w:t xml:space="preserve">by Molecular Dynamics Simulations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Physica B: Condensed Matter</w:t>
      </w:r>
      <w:r>
        <w:t xml:space="preserve"> </w:t>
      </w:r>
      <w:r>
        <w:t xml:space="preserve">406 (15-16): 2925–30.</w:t>
      </w:r>
      <w:r>
        <w:t xml:space="preserve"> </w:t>
      </w:r>
      <w:hyperlink r:id="rId41">
        <w:r>
          <w:rPr>
            <w:rStyle w:val="Hyperlink"/>
          </w:rPr>
          <w:t xml:space="preserve">https://doi.org/10.1016/j.physb.2011.03.062.</w:t>
        </w:r>
      </w:hyperlink>
    </w:p>
    <w:p>
      <w:pPr>
        <w:pStyle w:val="BodyText"/>
      </w:pPr>
      <w:r>
        <w:t xml:space="preserve">Foltz, M. Frances, Clifford L. Coon, Frank Garcia, and Albert L. Nichols. 1994.</w:t>
      </w:r>
      <w:r>
        <w:t xml:space="preserve"> </w:t>
      </w:r>
      <w:r>
        <w:t xml:space="preserve">“</w:t>
      </w:r>
      <w:r>
        <w:t xml:space="preserve">The Thermal Stability of the Polymorphs of Hexanitrohexaazaisowurtzitane Part I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Propellants, Explosives, Pyrotechnics</w:t>
      </w:r>
      <w:r>
        <w:t xml:space="preserve"> </w:t>
      </w:r>
      <w:r>
        <w:t xml:space="preserve">19 (1): 19–25.</w:t>
      </w:r>
      <w:r>
        <w:t xml:space="preserve"> </w:t>
      </w:r>
      <w:hyperlink r:id="rId42">
        <w:r>
          <w:rPr>
            <w:rStyle w:val="Hyperlink"/>
          </w:rPr>
          <w:t xml:space="preserve">https://doi.org/10.1002/prep.19940190105.</w:t>
        </w:r>
      </w:hyperlink>
    </w:p>
    <w:p>
      <w:pPr>
        <w:pStyle w:val="BodyText"/>
      </w:pPr>
      <w:r>
        <w:t xml:space="preserve">Bolton, Onas, Leah R. Simke, Philip F. Pagoria, and Adam J. Matzger. 2012.</w:t>
      </w:r>
      <w:r>
        <w:t xml:space="preserve"> </w:t>
      </w:r>
      <w:r>
        <w:t xml:space="preserve">“</w:t>
      </w:r>
      <w:r>
        <w:t xml:space="preserve">High Power Explosive with Good Sensitivity: A 2:1 Cocrystal of</w:t>
      </w:r>
      <w:r>
        <w:t xml:space="preserve"> </w:t>
      </w:r>
      <w:r>
        <w:t xml:space="preserve">CL</w:t>
      </w:r>
      <w:r>
        <w:t xml:space="preserve">-20:</w:t>
      </w:r>
      <w:r>
        <w:t xml:space="preserve">HMX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Crystal Growth</w:t>
      </w:r>
      <w:r>
        <w:rPr>
          <w:i/>
        </w:rPr>
        <w:t xml:space="preserve"> </w:t>
      </w:r>
      <w:r>
        <w:rPr>
          <w:i/>
        </w:rPr>
        <w:t xml:space="preserve">&amp;</w:t>
      </w:r>
      <w:r>
        <w:rPr>
          <w:i/>
        </w:rPr>
        <w:t xml:space="preserve"> </w:t>
      </w:r>
      <w:r>
        <w:rPr>
          <w:i/>
        </w:rPr>
        <w:t xml:space="preserve">Design</w:t>
      </w:r>
      <w:r>
        <w:t xml:space="preserve"> </w:t>
      </w:r>
      <w:r>
        <w:t xml:space="preserve">12 (9): 4311–14.</w:t>
      </w:r>
      <w:r>
        <w:t xml:space="preserve"> </w:t>
      </w:r>
      <w:hyperlink r:id="rId43">
        <w:r>
          <w:rPr>
            <w:rStyle w:val="Hyperlink"/>
          </w:rPr>
          <w:t xml:space="preserve">https://doi.org/10.1021/cg3010882.</w:t>
        </w:r>
      </w:hyperlink>
    </w:p>
    <w:p>
      <w:pPr>
        <w:pStyle w:val="BodyText"/>
      </w:pPr>
      <w:r>
        <w:t xml:space="preserve">Guo, Changyan, Haobin Zhang, Xiaochuan Wang, Jinjiang Xu, Yu Liu, Xiaofeng Liu, Hui Huang, and Jie Sun. 2013.</w:t>
      </w:r>
      <w:r>
        <w:t xml:space="preserve"> </w:t>
      </w:r>
      <w:r>
        <w:t xml:space="preserve">“</w:t>
      </w:r>
      <w:r>
        <w:t xml:space="preserve">Crystal Structure and Explosive Performance of a New</w:t>
      </w:r>
      <w:r>
        <w:t xml:space="preserve"> </w:t>
      </w:r>
      <w:r>
        <w:t xml:space="preserve">CL</w:t>
      </w:r>
      <w:r>
        <w:t xml:space="preserve">-20/Caprolactam Cocrystal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Journal of Molecular Structure</w:t>
      </w:r>
      <w:r>
        <w:t xml:space="preserve"> </w:t>
      </w:r>
      <w:r>
        <w:t xml:space="preserve">1048 (September): 267–73.</w:t>
      </w:r>
      <w:r>
        <w:t xml:space="preserve"> </w:t>
      </w:r>
      <w:hyperlink r:id="rId44">
        <w:r>
          <w:rPr>
            <w:rStyle w:val="Hyperlink"/>
          </w:rPr>
          <w:t xml:space="preserve">https://doi.org/10.1016/j.molstruc.2013.05.025.</w:t>
        </w:r>
      </w:hyperlink>
    </w:p>
    <w:p>
      <w:pPr>
        <w:pStyle w:val="BodyText"/>
      </w:pPr>
      <w:r>
        <w:t xml:space="preserve">Anderson, Stephen R., Pascal Dub</w:t>
      </w:r>
      <w:r>
        <w:t xml:space="preserve">é</w:t>
      </w:r>
      <w:r>
        <w:t xml:space="preserve">, Mariusz Krawiec, Jerry S. Salan, David J. am Ende, and Philip Samuels. 2016.</w:t>
      </w:r>
      <w:r>
        <w:t xml:space="preserve"> </w:t>
      </w:r>
      <w:r>
        <w:t xml:space="preserve">“</w:t>
      </w:r>
      <w:r>
        <w:t xml:space="preserve">Promising</w:t>
      </w:r>
      <w:r>
        <w:t xml:space="preserve"> </w:t>
      </w:r>
      <w:r>
        <w:t xml:space="preserve">CL</w:t>
      </w:r>
      <w:r>
        <w:t xml:space="preserve">-20-Based Energetic Material by Cocrystallization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Propellants Explosives, Pyrotechnics</w:t>
      </w:r>
      <w:r>
        <w:t xml:space="preserve"> </w:t>
      </w:r>
      <w:r>
        <w:t xml:space="preserve">41 (5): 783–88.</w:t>
      </w:r>
      <w:r>
        <w:t xml:space="preserve"> </w:t>
      </w:r>
      <w:hyperlink r:id="rId45">
        <w:r>
          <w:rPr>
            <w:rStyle w:val="Hyperlink"/>
          </w:rPr>
          <w:t xml:space="preserve">https://doi.org/10.1002/prep.201600065.</w:t>
        </w:r>
      </w:hyperlink>
    </w:p>
    <w:p>
      <w:pPr>
        <w:pStyle w:val="BodyText"/>
      </w:pPr>
      <w:r>
        <w:t xml:space="preserve">Liu, Ke, Gao Zhang, Jieyu Luan, Zhiqun Chen, Pengfei Su, and Yuanjie Shu. 2016.</w:t>
      </w:r>
      <w:r>
        <w:t xml:space="preserve"> </w:t>
      </w:r>
      <w:r>
        <w:t xml:space="preserve">“</w:t>
      </w:r>
      <w:r>
        <w:t xml:space="preserve">Crystal Structure Spectrum Character and Explosive Property of a New Cocrystal</w:t>
      </w:r>
      <w:r>
        <w:t xml:space="preserve"> </w:t>
      </w:r>
      <w:r>
        <w:t xml:space="preserve">CL</w:t>
      </w:r>
      <w:r>
        <w:t xml:space="preserve">-20/</w:t>
      </w:r>
      <w:r>
        <w:t xml:space="preserve">DNT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Journal of Molecular Structure</w:t>
      </w:r>
      <w:r>
        <w:t xml:space="preserve"> </w:t>
      </w:r>
      <w:r>
        <w:t xml:space="preserve">1110 (April): 91–96.</w:t>
      </w:r>
      <w:r>
        <w:t xml:space="preserve"> </w:t>
      </w:r>
      <w:hyperlink r:id="rId46">
        <w:r>
          <w:rPr>
            <w:rStyle w:val="Hyperlink"/>
          </w:rPr>
          <w:t xml:space="preserve">https://doi.org/10.1016/j.molstruc.2016.01.027.</w:t>
        </w:r>
      </w:hyperlink>
    </w:p>
    <w:p>
      <w:pPr>
        <w:pStyle w:val="BodyText"/>
      </w:pPr>
      <w:r>
        <w:t xml:space="preserve">Li, Huarong, Yuanjie Shu, Shijie Gao, Ling Chen, Qing Ma, and Xuehai Ju. 2013.</w:t>
      </w:r>
      <w:r>
        <w:t xml:space="preserve"> </w:t>
      </w:r>
      <w:r>
        <w:t xml:space="preserve">“</w:t>
      </w:r>
      <w:r>
        <w:t xml:space="preserve">Easy Methods to Study the Smart Energetic</w:t>
      </w:r>
      <w:r>
        <w:t xml:space="preserve"> </w:t>
      </w:r>
      <w:r>
        <w:t xml:space="preserve">TNT</w:t>
      </w:r>
      <w:r>
        <w:t xml:space="preserve">/</w:t>
      </w:r>
      <w:r>
        <w:t xml:space="preserve">CL</w:t>
      </w:r>
      <w:r>
        <w:t xml:space="preserve">-20 Co-Crystal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Journal of Molecular Modeling</w:t>
      </w:r>
      <w:r>
        <w:t xml:space="preserve"> </w:t>
      </w:r>
      <w:r>
        <w:t xml:space="preserve">19 (11): 4909–17.</w:t>
      </w:r>
      <w:r>
        <w:t xml:space="preserve"> </w:t>
      </w:r>
      <w:hyperlink r:id="rId47">
        <w:r>
          <w:rPr>
            <w:rStyle w:val="Hyperlink"/>
          </w:rPr>
          <w:t xml:space="preserve">https://doi.org/10.1007/s00894-013-1988-4.</w:t>
        </w:r>
      </w:hyperlink>
    </w:p>
    <w:p>
      <w:pPr>
        <w:pStyle w:val="BodyText"/>
      </w:pPr>
      <w:r>
        <w:t xml:space="preserve">Xu, Haifeng, Xiaohui Duan, Hongzhen Li, and Chonghua Pei. 2015.</w:t>
      </w:r>
      <w:r>
        <w:t xml:space="preserve"> </w:t>
      </w:r>
      <w:r>
        <w:t xml:space="preserve">“</w:t>
      </w:r>
      <w:r>
        <w:t xml:space="preserve">A Novel High-Energetic and Good-Sensitive Cocrystal Composed of</w:t>
      </w:r>
      <w:r>
        <w:t xml:space="preserve"> </w:t>
      </w:r>
      <w:r>
        <w:t xml:space="preserve">CL</w:t>
      </w:r>
      <w:r>
        <w:t xml:space="preserve">-20 and</w:t>
      </w:r>
      <w:r>
        <w:t xml:space="preserve"> </w:t>
      </w:r>
      <w:r>
        <w:t xml:space="preserve">TATB</w:t>
      </w:r>
      <w:r>
        <w:t xml:space="preserve"> </w:t>
      </w:r>
      <w:r>
        <w:t xml:space="preserve">by a Rapid Solvent/Non-Solvent Method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RSC</w:t>
      </w:r>
      <w:r>
        <w:rPr>
          <w:i/>
        </w:rPr>
        <w:t xml:space="preserve"> </w:t>
      </w:r>
      <w:r>
        <w:rPr>
          <w:i/>
        </w:rPr>
        <w:t xml:space="preserve">Advances</w:t>
      </w:r>
      <w:r>
        <w:t xml:space="preserve"> </w:t>
      </w:r>
      <w:r>
        <w:t xml:space="preserve">5 (116): 95764–70.</w:t>
      </w:r>
      <w:r>
        <w:t xml:space="preserve"> </w:t>
      </w:r>
      <w:hyperlink r:id="rId48">
        <w:r>
          <w:rPr>
            <w:rStyle w:val="Hyperlink"/>
          </w:rPr>
          <w:t xml:space="preserve">https://doi.org/10.1039/c5ra17578j.</w:t>
        </w:r>
      </w:hyperlink>
    </w:p>
    <w:p>
      <w:pPr>
        <w:pStyle w:val="BodyText"/>
      </w:pPr>
      <w:r>
        <w:t xml:space="preserve">Liu, Ning, Binghui Duan, Xianming Lu, Hongchang Mo, Minghui Xu, Qian Zhang, and Bozhou Wang. 2018.</w:t>
      </w:r>
      <w:r>
        <w:t xml:space="preserve"> </w:t>
      </w:r>
      <w:r>
        <w:t xml:space="preserve">“</w:t>
      </w:r>
      <w:r>
        <w:t xml:space="preserve">Preparation of</w:t>
      </w:r>
      <w:r>
        <w:t xml:space="preserve"> </w:t>
      </w:r>
      <w:r>
        <w:t xml:space="preserve">CL</w:t>
      </w:r>
      <w:r>
        <w:t xml:space="preserve">-20/</w:t>
      </w:r>
      <w:r>
        <w:t xml:space="preserve">DNDAP</w:t>
      </w:r>
      <w:r>
        <w:t xml:space="preserve"> </w:t>
      </w:r>
      <w:r>
        <w:t xml:space="preserve">Cocrystals by a Rapid and Continuous Spray Drying Method: an Alternative to Cocrystal Formation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CrystEngComm</w:t>
      </w:r>
      <w:r>
        <w:t xml:space="preserve"> </w:t>
      </w:r>
      <w:r>
        <w:t xml:space="preserve">20 (14): 2060–67.</w:t>
      </w:r>
      <w:r>
        <w:t xml:space="preserve"> </w:t>
      </w:r>
      <w:hyperlink r:id="rId49">
        <w:r>
          <w:rPr>
            <w:rStyle w:val="Hyperlink"/>
          </w:rPr>
          <w:t xml:space="preserve">https://doi.org/10.1039/c8ce00006a.</w:t>
        </w:r>
      </w:hyperlink>
    </w:p>
    <w:p>
      <w:pPr>
        <w:pStyle w:val="BodyText"/>
      </w:pPr>
      <w:r>
        <w:t xml:space="preserve">Liu, Guangrui, Hongzhen Li, Ruijun Gou, and Chaoyang Zhang. 2018.</w:t>
      </w:r>
      <w:r>
        <w:t xml:space="preserve"> </w:t>
      </w:r>
      <w:r>
        <w:t xml:space="preserve">“</w:t>
      </w:r>
      <w:r>
        <w:t xml:space="preserve">Packing Structures of</w:t>
      </w:r>
      <w:r>
        <w:t xml:space="preserve"> </w:t>
      </w:r>
      <w:r>
        <w:t xml:space="preserve">CL</w:t>
      </w:r>
      <w:r>
        <w:t xml:space="preserve">-20-Based Cocrystals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Crystal Growth</w:t>
      </w:r>
      <w:r>
        <w:rPr>
          <w:i/>
        </w:rPr>
        <w:t xml:space="preserve"> </w:t>
      </w:r>
      <w:r>
        <w:rPr>
          <w:i/>
        </w:rPr>
        <w:t xml:space="preserve">&amp;</w:t>
      </w:r>
      <w:r>
        <w:rPr>
          <w:i/>
        </w:rPr>
        <w:t xml:space="preserve"> </w:t>
      </w:r>
      <w:r>
        <w:rPr>
          <w:i/>
        </w:rPr>
        <w:t xml:space="preserve">Design</w:t>
      </w:r>
      <w:r>
        <w:t xml:space="preserve"> </w:t>
      </w:r>
      <w:r>
        <w:t xml:space="preserve">18 (11): 7065–78.</w:t>
      </w:r>
      <w:r>
        <w:t xml:space="preserve"> </w:t>
      </w:r>
      <w:hyperlink r:id="rId50">
        <w:r>
          <w:rPr>
            <w:rStyle w:val="Hyperlink"/>
          </w:rPr>
          <w:t xml:space="preserve">https://doi.org/10.1021/acs.cgd.8b01228.</w:t>
        </w:r>
      </w:hyperlink>
    </w:p>
    <w:p>
      <w:pPr>
        <w:pStyle w:val="BodyText"/>
      </w:pPr>
      <w:r>
        <w:t xml:space="preserve">Tan, Bisheng, Hui Huang, Ming Huang, Xinping Long, Jinshan Li, Xiaodong Yuan, and Ruijuan Xu. 2014.</w:t>
      </w:r>
      <w:r>
        <w:t xml:space="preserve"> </w:t>
      </w:r>
      <w:r>
        <w:t xml:space="preserve">“</w:t>
      </w:r>
      <w:r>
        <w:t xml:space="preserve">Computational Screening of Several Silicon-Based High-Energy Hexanitrohexaazaisowurtzitane-like Derivatives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Journal of Fluorine Chemistry</w:t>
      </w:r>
      <w:r>
        <w:t xml:space="preserve"> </w:t>
      </w:r>
      <w:r>
        <w:t xml:space="preserve">158 (February): 29–37.</w:t>
      </w:r>
      <w:r>
        <w:t xml:space="preserve"> </w:t>
      </w:r>
      <w:hyperlink r:id="rId51">
        <w:r>
          <w:rPr>
            <w:rStyle w:val="Hyperlink"/>
          </w:rPr>
          <w:t xml:space="preserve">https://doi.org/10.1016/j.jfluchem.2013.12.001.</w:t>
        </w:r>
      </w:hyperlink>
    </w:p>
    <w:p>
      <w:pPr>
        <w:pStyle w:val="BodyText"/>
      </w:pPr>
      <w:r>
        <w:t xml:space="preserve">Klapötke, Thomas M., Burkhard Krumm, Rainer Ilg, Dennis Troegel, and Reinhold Tacke. 2007.</w:t>
      </w:r>
      <w:r>
        <w:t xml:space="preserve"> </w:t>
      </w:r>
      <w:r>
        <w:t xml:space="preserve">“</w:t>
      </w:r>
      <w:r>
        <w:t xml:space="preserve">The Sila-Explosives Si(</w:t>
      </w:r>
      <w:r>
        <w:t xml:space="preserve">CH</w:t>
      </w:r>
      <w:r>
        <w:t xml:space="preserve">2N3)4and Si(</w:t>
      </w:r>
      <w:r>
        <w:t xml:space="preserve">CH</w:t>
      </w:r>
      <w:r>
        <w:t xml:space="preserve">2ONO2)4:  Silicon Analogues of the Common Explosives Pentaerythrityl Tetraazide C(</w:t>
      </w:r>
      <w:r>
        <w:t xml:space="preserve">CH</w:t>
      </w:r>
      <w:r>
        <w:t xml:space="preserve">2N3)4, and Pentaerythritol Tetranitrate, C(</w:t>
      </w:r>
      <w:r>
        <w:t xml:space="preserve">CH</w:t>
      </w:r>
      <w:r>
        <w:t xml:space="preserve">2ONO2)4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Journal of the American Chemical Society</w:t>
      </w:r>
      <w:r>
        <w:t xml:space="preserve"> </w:t>
      </w:r>
      <w:r>
        <w:t xml:space="preserve">129 (21): 6908–15.</w:t>
      </w:r>
      <w:r>
        <w:t xml:space="preserve"> </w:t>
      </w:r>
      <w:hyperlink r:id="rId52">
        <w:r>
          <w:rPr>
            <w:rStyle w:val="Hyperlink"/>
          </w:rPr>
          <w:t xml:space="preserve">https://doi.org/10.1021/ja071299p.</w:t>
        </w:r>
      </w:hyperlink>
    </w:p>
    <w:p>
      <w:pPr>
        <w:pStyle w:val="BodyText"/>
      </w:pPr>
      <w:r>
        <w:t xml:space="preserve">Liu, Wei-Guang, Sergey V. Zybin, Siddharth Dasgupta, Klapötke Thomas M., and William A. Goddard III. 2009.</w:t>
      </w:r>
      <w:r>
        <w:t xml:space="preserve"> </w:t>
      </w:r>
      <w:r>
        <w:t xml:space="preserve">“</w:t>
      </w:r>
      <w:r>
        <w:t xml:space="preserve">Explanation of the Colossal Detonation Sensitivity of Silicon Pentaerythritol Tetranitrate (Si-</w:t>
      </w:r>
      <w:r>
        <w:t xml:space="preserve">PETN</w:t>
      </w:r>
      <w:r>
        <w:t xml:space="preserve">) Explosive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Journal of the American Chemical Society</w:t>
      </w:r>
      <w:r>
        <w:t xml:space="preserve"> </w:t>
      </w:r>
      <w:r>
        <w:t xml:space="preserve">131 (22): 7490–91.</w:t>
      </w:r>
      <w:r>
        <w:t xml:space="preserve"> </w:t>
      </w:r>
      <w:hyperlink r:id="rId53">
        <w:r>
          <w:rPr>
            <w:rStyle w:val="Hyperlink"/>
          </w:rPr>
          <w:t xml:space="preserve">https://doi.org/10.1021/ja809725p.</w:t>
        </w:r>
      </w:hyperlink>
    </w:p>
    <w:p>
      <w:pPr>
        <w:pStyle w:val="BodyText"/>
      </w:pPr>
      <w:r>
        <w:t xml:space="preserve">Murray, Jane S., Pat Lane, Anian Nieder, Thomas M. Klapötke, and Peter Politzer. 2010.</w:t>
      </w:r>
      <w:r>
        <w:t xml:space="preserve"> </w:t>
      </w:r>
      <w:r>
        <w:t xml:space="preserve">“</w:t>
      </w:r>
      <w:r>
        <w:t xml:space="preserve">Enhanced Detonation Sensitivities of Silicon Analogs of</w:t>
      </w:r>
      <w:r>
        <w:t xml:space="preserve"> </w:t>
      </w:r>
      <w:r>
        <w:t xml:space="preserve">PETN</w:t>
      </w:r>
      <w:r>
        <w:t xml:space="preserve">: Reaction Force Analysis and the Role of</w:t>
      </w:r>
      <w:r>
        <w:t xml:space="preserve"> </w:t>
      </w:r>
      <w:r>
        <w:t xml:space="preserve">$\Upsigma$</w:t>
      </w:r>
      <w:r>
        <w:t xml:space="preserve">Hole Interactions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Theoretical Chemistry Accounts</w:t>
      </w:r>
      <w:r>
        <w:t xml:space="preserve"> </w:t>
      </w:r>
      <w:r>
        <w:t xml:space="preserve">127 (4): 345–54.</w:t>
      </w:r>
      <w:r>
        <w:t xml:space="preserve"> </w:t>
      </w:r>
      <w:hyperlink r:id="rId54">
        <w:r>
          <w:rPr>
            <w:rStyle w:val="Hyperlink"/>
          </w:rPr>
          <w:t xml:space="preserve">https://doi.org/10.1007/s00214-009-0723-9.</w:t>
        </w:r>
      </w:hyperlink>
    </w:p>
    <w:p>
      <w:pPr>
        <w:pStyle w:val="BodyText"/>
      </w:pPr>
      <w:r>
        <w:t xml:space="preserve">Degtyarenko, N. N., K. P. Katin, and M. M. Maslov. 2014.</w:t>
      </w:r>
      <w:r>
        <w:t xml:space="preserve"> </w:t>
      </w:r>
      <w:r>
        <w:t xml:space="preserve">“</w:t>
      </w:r>
      <w:r>
        <w:t xml:space="preserve">Simulation of Metastable</w:t>
      </w:r>
      <w:r>
        <w:t xml:space="preserve"> </w:t>
      </w:r>
      <w:r>
        <w:t xml:space="preserve">CL</w:t>
      </w:r>
      <w:r>
        <w:t xml:space="preserve">-20 Cluster Structures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Physics of the Solid State</w:t>
      </w:r>
      <w:r>
        <w:t xml:space="preserve"> </w:t>
      </w:r>
      <w:r>
        <w:t xml:space="preserve">56 (7): 1467–71.</w:t>
      </w:r>
      <w:r>
        <w:t xml:space="preserve"> </w:t>
      </w:r>
      <w:hyperlink r:id="rId55">
        <w:r>
          <w:rPr>
            <w:rStyle w:val="Hyperlink"/>
          </w:rPr>
          <w:t xml:space="preserve">https://doi.org/10.1134/s1063783414070099.</w:t>
        </w:r>
      </w:hyperlink>
    </w:p>
    <w:p>
      <w:pPr>
        <w:pStyle w:val="BodyText"/>
      </w:pPr>
      <w:r>
        <w:t xml:space="preserve">Katin, Konstantin P., and Mikhail M. Maslov. 2017.</w:t>
      </w:r>
      <w:r>
        <w:t xml:space="preserve"> </w:t>
      </w:r>
      <w:r>
        <w:t xml:space="preserve">“</w:t>
      </w:r>
      <w:r>
        <w:t xml:space="preserve">Toward</w:t>
      </w:r>
      <w:r>
        <w:t xml:space="preserve"> </w:t>
      </w:r>
      <w:r>
        <w:t xml:space="preserve">CL</w:t>
      </w:r>
      <w:r>
        <w:t xml:space="preserve">-20 Crystalline Covalent Solids: On the Dependence of Energy and Electronic Properties on the Effective Size of</w:t>
      </w:r>
      <w:r>
        <w:t xml:space="preserve"> </w:t>
      </w:r>
      <w:r>
        <w:t xml:space="preserve">CL</w:t>
      </w:r>
      <w:r>
        <w:t xml:space="preserve">-20 Chains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Journal of Physics and Chemistry of Solids</w:t>
      </w:r>
      <w:r>
        <w:t xml:space="preserve"> </w:t>
      </w:r>
      <w:r>
        <w:t xml:space="preserve">108 (September): 82–87.</w:t>
      </w:r>
      <w:r>
        <w:t xml:space="preserve"> </w:t>
      </w:r>
      <w:hyperlink r:id="rId56">
        <w:r>
          <w:rPr>
            <w:rStyle w:val="Hyperlink"/>
          </w:rPr>
          <w:t xml:space="preserve">https://doi.org/10.1016/j.jpcs.2017.04.020.</w:t>
        </w:r>
      </w:hyperlink>
    </w:p>
    <w:p>
      <w:pPr>
        <w:pStyle w:val="BodyText"/>
      </w:pPr>
      <w:r>
        <w:t xml:space="preserve">Gimaldinova, Margarita A., Mikhail M. Maslov, and Konstantin P. Katin. 2018.</w:t>
      </w:r>
      <w:r>
        <w:t xml:space="preserve"> </w:t>
      </w:r>
      <w:r>
        <w:t xml:space="preserve">“</w:t>
      </w:r>
      <w:r>
        <w:t xml:space="preserve">Electronic and Reactivity Characteristics of</w:t>
      </w:r>
      <w:r>
        <w:t xml:space="preserve"> </w:t>
      </w:r>
      <w:r>
        <w:t xml:space="preserve">CL</w:t>
      </w:r>
      <w:r>
        <w:t xml:space="preserve">-20 Covalent Chains and Networks: a Density Functional Theory Study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CrystEngComm</w:t>
      </w:r>
      <w:r>
        <w:t xml:space="preserve"> </w:t>
      </w:r>
      <w:r>
        <w:t xml:space="preserve">20 (30): 4336–44.</w:t>
      </w:r>
      <w:r>
        <w:t xml:space="preserve"> </w:t>
      </w:r>
      <w:hyperlink r:id="rId57">
        <w:r>
          <w:rPr>
            <w:rStyle w:val="Hyperlink"/>
          </w:rPr>
          <w:t xml:space="preserve">https://doi.org/10.1039/c8ce00763b.</w:t>
        </w:r>
      </w:hyperlink>
    </w:p>
    <w:p>
      <w:pPr>
        <w:pStyle w:val="BodyText"/>
      </w:pPr>
      <w:r>
        <w:t xml:space="preserve">Lee, Chengteh, Weitao Yang, and Robert G. Parr. 1988.</w:t>
      </w:r>
      <w:r>
        <w:t xml:space="preserve"> </w:t>
      </w:r>
      <w:r>
        <w:t xml:space="preserve">“</w:t>
      </w:r>
      <w:r>
        <w:t xml:space="preserve">Development of the Colle-Salvetti Correlation-Energy Formula into a Functional of the Electron Density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Physical Review B</w:t>
      </w:r>
      <w:r>
        <w:t xml:space="preserve"> </w:t>
      </w:r>
      <w:r>
        <w:t xml:space="preserve">37 (2): 785–89.</w:t>
      </w:r>
      <w:r>
        <w:t xml:space="preserve"> </w:t>
      </w:r>
      <w:hyperlink r:id="rId58">
        <w:r>
          <w:rPr>
            <w:rStyle w:val="Hyperlink"/>
          </w:rPr>
          <w:t xml:space="preserve">https://doi.org/10.1103/physrevb.37.785.</w:t>
        </w:r>
      </w:hyperlink>
    </w:p>
    <w:p>
      <w:pPr>
        <w:pStyle w:val="BodyText"/>
      </w:pPr>
      <w:r>
        <w:t xml:space="preserve">Becke, Axel D. 1993.</w:t>
      </w:r>
      <w:r>
        <w:t xml:space="preserve"> </w:t>
      </w:r>
      <w:r>
        <w:t xml:space="preserve">“</w:t>
      </w:r>
      <w:r>
        <w:t xml:space="preserve">Density-Functional Thermochemistry.</w:t>
      </w:r>
      <w:r>
        <w:t xml:space="preserve"> </w:t>
      </w:r>
      <w:r>
        <w:t xml:space="preserve">III</w:t>
      </w:r>
      <w:r>
        <w:t xml:space="preserve">. The Role of Exact Exchange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The Journal of Chemical Physics</w:t>
      </w:r>
      <w:r>
        <w:t xml:space="preserve"> </w:t>
      </w:r>
      <w:r>
        <w:t xml:space="preserve">98 (7): 5648–52.</w:t>
      </w:r>
      <w:r>
        <w:t xml:space="preserve"> </w:t>
      </w:r>
      <w:hyperlink r:id="rId59">
        <w:r>
          <w:rPr>
            <w:rStyle w:val="Hyperlink"/>
          </w:rPr>
          <w:t xml:space="preserve">https://doi.org/10.1063/1.464913.</w:t>
        </w:r>
      </w:hyperlink>
    </w:p>
    <w:p>
      <w:pPr>
        <w:pStyle w:val="BodyText"/>
      </w:pPr>
      <w:r>
        <w:t xml:space="preserve">Krishnan, R., J. S. Binkley, R. Seeger, and J. A. Pople. 1980.</w:t>
      </w:r>
      <w:r>
        <w:t xml:space="preserve"> </w:t>
      </w:r>
      <w:r>
        <w:t xml:space="preserve">“</w:t>
      </w:r>
      <w:r>
        <w:t xml:space="preserve">Self-Consistent Molecular Orbital Methods.</w:t>
      </w:r>
      <w:r>
        <w:t xml:space="preserve"> </w:t>
      </w:r>
      <w:r>
        <w:t xml:space="preserve">XX</w:t>
      </w:r>
      <w:r>
        <w:t xml:space="preserve">. A Basis Set for Correlated Wave Functions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The Journal of Chemical Physics</w:t>
      </w:r>
      <w:r>
        <w:t xml:space="preserve"> </w:t>
      </w:r>
      <w:r>
        <w:t xml:space="preserve">72 (1): 650–54.</w:t>
      </w:r>
      <w:r>
        <w:t xml:space="preserve"> </w:t>
      </w:r>
      <w:hyperlink r:id="rId60">
        <w:r>
          <w:rPr>
            <w:rStyle w:val="Hyperlink"/>
          </w:rPr>
          <w:t xml:space="preserve">https://doi.org/10.1063/1.438955.</w:t>
        </w:r>
      </w:hyperlink>
    </w:p>
    <w:p>
      <w:pPr>
        <w:pStyle w:val="BodyText"/>
      </w:pPr>
      <w:r>
        <w:t xml:space="preserve">Feller, David. 1996.</w:t>
      </w:r>
      <w:r>
        <w:t xml:space="preserve"> </w:t>
      </w:r>
      <w:r>
        <w:t xml:space="preserve">“</w:t>
      </w:r>
      <w:r>
        <w:t xml:space="preserve">The Role of Databases in Support of Computational Chemistry Calculations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Journal of Computational Chemistry</w:t>
      </w:r>
      <w:r>
        <w:t xml:space="preserve"> </w:t>
      </w:r>
      <w:r>
        <w:t xml:space="preserve">17 (13): 1571–86.</w:t>
      </w:r>
      <w:r>
        <w:t xml:space="preserve"> </w:t>
      </w:r>
      <w:hyperlink r:id="rId61">
        <w:r>
          <w:rPr>
            <w:rStyle w:val="Hyperlink"/>
          </w:rPr>
          <w:t xml:space="preserve">https://doi.org/10.1002/(sici)1096-987x(199610)17:13&lt;1571::aid-jcc9&gt;3.0.co;2-p.</w:t>
        </w:r>
      </w:hyperlink>
    </w:p>
    <w:p>
      <w:pPr>
        <w:pStyle w:val="BodyText"/>
      </w:pPr>
      <w:r>
        <w:t xml:space="preserve">Schuchardt, Karen L., Brett T. Didier, Todd Elsethagen, Lisong Sun, Vidhya Gurumoorthi, Jared Chase, Jun Li, and Theresa L. Windus. 2007.</w:t>
      </w:r>
      <w:r>
        <w:t xml:space="preserve"> </w:t>
      </w:r>
      <w:r>
        <w:t xml:space="preserve">“</w:t>
      </w:r>
      <w:r>
        <w:t xml:space="preserve">Basis Set Exchange: A Community Database for Computational Sciences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Journal of Chemical Information and Modeling</w:t>
      </w:r>
      <w:r>
        <w:t xml:space="preserve"> </w:t>
      </w:r>
      <w:r>
        <w:t xml:space="preserve">47 (3): 1045–52.</w:t>
      </w:r>
      <w:r>
        <w:t xml:space="preserve"> </w:t>
      </w:r>
      <w:hyperlink r:id="rId62">
        <w:r>
          <w:rPr>
            <w:rStyle w:val="Hyperlink"/>
          </w:rPr>
          <w:t xml:space="preserve">https://doi.org/10.1021/ci600510j.</w:t>
        </w:r>
      </w:hyperlink>
    </w:p>
    <w:p>
      <w:pPr>
        <w:pStyle w:val="BodyText"/>
      </w:pPr>
      <w:r>
        <w:t xml:space="preserve">Titov, Alexey V., Ivan S. Ufimtsev, Nathan Luehr, and Todd J. Martinez. 2012.</w:t>
      </w:r>
      <w:r>
        <w:t xml:space="preserve"> </w:t>
      </w:r>
      <w:r>
        <w:t xml:space="preserve">“</w:t>
      </w:r>
      <w:r>
        <w:t xml:space="preserve">Generating Efficient Quantum Chemistry Codes for Novel Architectures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Journal of Chemical Theory and Computation</w:t>
      </w:r>
      <w:r>
        <w:t xml:space="preserve"> </w:t>
      </w:r>
      <w:r>
        <w:t xml:space="preserve">9 (1): 213–21.</w:t>
      </w:r>
      <w:r>
        <w:t xml:space="preserve"> </w:t>
      </w:r>
      <w:hyperlink r:id="rId63">
        <w:r>
          <w:rPr>
            <w:rStyle w:val="Hyperlink"/>
          </w:rPr>
          <w:t xml:space="preserve">https://doi.org/10.1021/ct300321a.</w:t>
        </w:r>
      </w:hyperlink>
    </w:p>
    <w:p>
      <w:pPr>
        <w:pStyle w:val="BodyText"/>
      </w:pPr>
      <w:r>
        <w:t xml:space="preserve">Ufimtsev, Ivan S., and Todd J. Martinez. 2009.</w:t>
      </w:r>
      <w:r>
        <w:t xml:space="preserve"> </w:t>
      </w:r>
      <w:r>
        <w:t xml:space="preserve">“</w:t>
      </w:r>
      <w:r>
        <w:t xml:space="preserve">Quantum Chemistry on Graphical Processing Units. 3. Analytical Energy Gradients Geometry Optimization, and First Principles Molecular Dynamics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Journal of Chemical Theory and Computation</w:t>
      </w:r>
      <w:r>
        <w:t xml:space="preserve"> </w:t>
      </w:r>
      <w:r>
        <w:t xml:space="preserve">5 (10): 2619–28.</w:t>
      </w:r>
      <w:r>
        <w:t xml:space="preserve"> </w:t>
      </w:r>
      <w:hyperlink r:id="rId64">
        <w:r>
          <w:rPr>
            <w:rStyle w:val="Hyperlink"/>
          </w:rPr>
          <w:t xml:space="preserve">https://doi.org/10.1021/ct9003004.</w:t>
        </w:r>
      </w:hyperlink>
    </w:p>
    <w:p>
      <w:pPr>
        <w:pStyle w:val="BodyText"/>
      </w:pPr>
      <w:r>
        <w:t xml:space="preserve">Kästner Johannes, Joanne M. Carr, Thomas W. Keal, Walter Thiel, Adrian Wander, and Paul Sherwood. 2009.</w:t>
      </w:r>
      <w:r>
        <w:t xml:space="preserve"> </w:t>
      </w:r>
      <w:r>
        <w:t xml:space="preserve">“</w:t>
      </w:r>
      <w:r>
        <w:t xml:space="preserve">DL</w:t>
      </w:r>
      <w:r>
        <w:t xml:space="preserve">-</w:t>
      </w:r>
      <w:r>
        <w:t xml:space="preserve">FIND</w:t>
      </w:r>
      <w:r>
        <w:t xml:space="preserve">: An Open-Source Geometry Optimizer for Atomistic Simulations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The Journal of Physical Chemistry A</w:t>
      </w:r>
      <w:r>
        <w:t xml:space="preserve"> </w:t>
      </w:r>
      <w:r>
        <w:t xml:space="preserve">113 (43): 11856–65.</w:t>
      </w:r>
      <w:r>
        <w:t xml:space="preserve"> </w:t>
      </w:r>
      <w:hyperlink r:id="rId65">
        <w:r>
          <w:rPr>
            <w:rStyle w:val="Hyperlink"/>
          </w:rPr>
          <w:t xml:space="preserve">https://doi.org/10.1021/jp9028968.</w:t>
        </w:r>
      </w:hyperlink>
    </w:p>
    <w:p>
      <w:pPr>
        <w:pStyle w:val="BodyText"/>
      </w:pPr>
      <w:r>
        <w:t xml:space="preserve">Goumans, T. P. M., C. Richard A. Catlow, Wendy A. Brown, Johannes Kästner, and Paul Sherwood. 2009.</w:t>
      </w:r>
      <w:r>
        <w:t xml:space="preserve"> </w:t>
      </w:r>
      <w:r>
        <w:t xml:space="preserve">“</w:t>
      </w:r>
      <w:r>
        <w:t xml:space="preserve">An Embedded Cluster Study of the Formation of Water on Interstellar Dust Grains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Physical Chemistry Chemical Physics</w:t>
      </w:r>
      <w:r>
        <w:t xml:space="preserve"> </w:t>
      </w:r>
      <w:r>
        <w:t xml:space="preserve">11 (26): 5431.</w:t>
      </w:r>
      <w:r>
        <w:t xml:space="preserve"> </w:t>
      </w:r>
      <w:hyperlink r:id="rId66">
        <w:r>
          <w:rPr>
            <w:rStyle w:val="Hyperlink"/>
          </w:rPr>
          <w:t xml:space="preserve">https://doi.org/10.1039/b816905e.</w:t>
        </w:r>
      </w:hyperlink>
    </w:p>
    <w:p>
      <w:pPr>
        <w:pStyle w:val="BodyText"/>
      </w:pPr>
      <w:r>
        <w:t xml:space="preserve">Schmidt, Michael W., Kim K. Baldridge, Jerry A. Boatz, Steven T. Elbert, Mark S. Gordon, Jan H. Jensen, Shiro Koseki, et al. 1993.</w:t>
      </w:r>
      <w:r>
        <w:t xml:space="preserve"> </w:t>
      </w:r>
      <w:r>
        <w:t xml:space="preserve">“</w:t>
      </w:r>
      <w:r>
        <w:t xml:space="preserve">General Atomic and Molecular Electronic Structure System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Journal of Computational Chemistry</w:t>
      </w:r>
      <w:r>
        <w:t xml:space="preserve"> </w:t>
      </w:r>
      <w:r>
        <w:t xml:space="preserve">14 (11): 1347–63.</w:t>
      </w:r>
      <w:r>
        <w:t xml:space="preserve"> </w:t>
      </w:r>
      <w:hyperlink r:id="rId67">
        <w:r>
          <w:rPr>
            <w:rStyle w:val="Hyperlink"/>
          </w:rPr>
          <w:t xml:space="preserve">https://doi.org/10.1002/jcc.540141112.</w:t>
        </w:r>
      </w:hyperlink>
    </w:p>
    <w:p>
      <w:pPr>
        <w:pStyle w:val="BodyText"/>
      </w:pPr>
      <w:r>
        <w:t xml:space="preserve">Koopmans, T. 1934.</w:t>
      </w:r>
      <w:r>
        <w:t xml:space="preserve"> </w:t>
      </w:r>
      <w:r>
        <w:t xml:space="preserve">“</w:t>
      </w:r>
      <w:r>
        <w:t xml:space="preserve">Über Die Zuordnung Von Wellenfunktionen Und Eigenwerten Zu Den Einzelnen Elektronen Eines Atoms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Physica</w:t>
      </w:r>
      <w:r>
        <w:t xml:space="preserve"> </w:t>
      </w:r>
      <w:r>
        <w:t xml:space="preserve">1 (1-6): 104–13.</w:t>
      </w:r>
      <w:r>
        <w:t xml:space="preserve"> </w:t>
      </w:r>
      <w:hyperlink r:id="rId68">
        <w:r>
          <w:rPr>
            <w:rStyle w:val="Hyperlink"/>
          </w:rPr>
          <w:t xml:space="preserve">https://doi.org/10.1016/s0031-8914(34)90011-2.</w:t>
        </w:r>
      </w:hyperlink>
    </w:p>
    <w:p>
      <w:pPr>
        <w:pStyle w:val="BodyText"/>
      </w:pPr>
      <w:r>
        <w:t xml:space="preserve">Yanai, Takeshi, David P Tew, and Nicholas C Handy. 2004.</w:t>
      </w:r>
      <w:r>
        <w:t xml:space="preserve"> </w:t>
      </w:r>
      <w:r>
        <w:t xml:space="preserve">“</w:t>
      </w:r>
      <w:r>
        <w:t xml:space="preserve">A New Hybrid ExchangeCorrelation Functional Using the Coulomb-Attenuating Method (</w:t>
      </w:r>
      <w:r>
        <w:t xml:space="preserve">CAM</w:t>
      </w:r>
      <w:r>
        <w:t xml:space="preserve">-B3LYP)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Chemical Physics Letters</w:t>
      </w:r>
      <w:r>
        <w:t xml:space="preserve"> </w:t>
      </w:r>
      <w:r>
        <w:t xml:space="preserve">393 (1-3): 51–57.</w:t>
      </w:r>
      <w:r>
        <w:t xml:space="preserve"> </w:t>
      </w:r>
      <w:hyperlink r:id="rId69">
        <w:r>
          <w:rPr>
            <w:rStyle w:val="Hyperlink"/>
          </w:rPr>
          <w:t xml:space="preserve">https://doi.org/10.1016/j.cplett.2004.06.011.</w:t>
        </w:r>
      </w:hyperlink>
    </w:p>
    <w:p>
      <w:pPr>
        <w:pStyle w:val="BodyText"/>
      </w:pPr>
      <w:r>
        <w:t xml:space="preserve">Isborn, Christine M., Nathan Luehr, Ivan S. Ufimtsev, and Todd J. Mart</w:t>
      </w:r>
      <w:r>
        <w:t xml:space="preserve">í</w:t>
      </w:r>
      <w:r>
        <w:t xml:space="preserve">nez. 2011.</w:t>
      </w:r>
      <w:r>
        <w:t xml:space="preserve"> </w:t>
      </w:r>
      <w:r>
        <w:t xml:space="preserve">“</w:t>
      </w:r>
      <w:r>
        <w:t xml:space="preserve">Excited-State Electronic Structure with Configuration Interaction Singles and TammDancoff Time-Dependent Density Functional Theory on Graphical Processing Units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Journal of Chemical Theory and Computation</w:t>
      </w:r>
      <w:r>
        <w:t xml:space="preserve"> </w:t>
      </w:r>
      <w:r>
        <w:t xml:space="preserve">7 (6): 1814–23.</w:t>
      </w:r>
      <w:r>
        <w:t xml:space="preserve"> </w:t>
      </w:r>
      <w:hyperlink r:id="rId70">
        <w:r>
          <w:rPr>
            <w:rStyle w:val="Hyperlink"/>
          </w:rPr>
          <w:t xml:space="preserve">https://doi.org/10.1021/ct200030k.</w:t>
        </w:r>
      </w:hyperlink>
    </w:p>
    <w:p>
      <w:pPr>
        <w:pStyle w:val="BodyText"/>
      </w:pPr>
      <w:r>
        <w:t xml:space="preserve">Isayev, Olexandr, Leonid Gorb, Mo Qasim, and Jerzy Leszczynski. 2008.</w:t>
      </w:r>
      <w:r>
        <w:t xml:space="preserve"> </w:t>
      </w:r>
      <w:r>
        <w:t xml:space="preserve">“</w:t>
      </w:r>
      <w:r>
        <w:t xml:space="preserve">Ab Initio Molecular Dynamics Study on the Initial Chemical Events in Nitramines: Thermal Decomposition of</w:t>
      </w:r>
      <w:r>
        <w:t xml:space="preserve"> </w:t>
      </w:r>
      <w:r>
        <w:t xml:space="preserve">CL</w:t>
      </w:r>
      <w:r>
        <w:t xml:space="preserve">-20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The Journal of Physical Chemistry B</w:t>
      </w:r>
      <w:r>
        <w:t xml:space="preserve"> </w:t>
      </w:r>
      <w:r>
        <w:t xml:space="preserve">112 (35): 11005–13.</w:t>
      </w:r>
      <w:r>
        <w:t xml:space="preserve"> </w:t>
      </w:r>
      <w:hyperlink r:id="rId71">
        <w:r>
          <w:rPr>
            <w:rStyle w:val="Hyperlink"/>
          </w:rPr>
          <w:t xml:space="preserve">https://doi.org/10.1021/jp804765m.</w:t>
        </w:r>
      </w:hyperlink>
    </w:p>
    <w:p>
      <w:pPr>
        <w:pStyle w:val="BodyText"/>
      </w:pPr>
      <w:r>
        <w:t xml:space="preserve">Lin-lin, Liu, and Song-qi Hu. 2018.</w:t>
      </w:r>
      <w:r>
        <w:t xml:space="preserve"> </w:t>
      </w:r>
      <w:r>
        <w:t xml:space="preserve">“</w:t>
      </w:r>
      <w:r>
        <w:t xml:space="preserve">Ab Initio Calculations of the</w:t>
      </w:r>
      <w:r>
        <w:t xml:space="preserve"> </w:t>
      </w:r>
      <w:r>
        <w:t xml:space="preserve">NO</w:t>
      </w:r>
      <w:r>
        <w:t xml:space="preserve">2 Fission for</w:t>
      </w:r>
      <w:r>
        <w:t xml:space="preserve"> </w:t>
      </w:r>
      <w:r>
        <w:t xml:space="preserve">CL</w:t>
      </w:r>
      <w:r>
        <w:t xml:space="preserve">-20 Conformers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Journal of Energetic Materials</w:t>
      </w:r>
      <w:r>
        <w:t xml:space="preserve">, November, 1–8.</w:t>
      </w:r>
      <w:r>
        <w:t xml:space="preserve"> </w:t>
      </w:r>
      <w:hyperlink r:id="rId72">
        <w:r>
          <w:rPr>
            <w:rStyle w:val="Hyperlink"/>
          </w:rPr>
          <w:t xml:space="preserve">https://doi.org/10.1080/07370652.2018.1552338.</w:t>
        </w:r>
      </w:hyperlink>
    </w:p>
    <w:p>
      <w:pPr>
        <w:pStyle w:val="BodyText"/>
      </w:pPr>
      <w:r>
        <w:t xml:space="preserve">Vineyard, George H. 1957.</w:t>
      </w:r>
      <w:r>
        <w:t xml:space="preserve"> </w:t>
      </w:r>
      <w:r>
        <w:t xml:space="preserve">“</w:t>
      </w:r>
      <w:r>
        <w:t xml:space="preserve">Frequency Factors and Isotope Effects in Solid State Rate Processes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Journal of Physics and Chemistry of Solids</w:t>
      </w:r>
      <w:r>
        <w:t xml:space="preserve"> </w:t>
      </w:r>
      <w:r>
        <w:t xml:space="preserve">3 (1-2): 121–27.</w:t>
      </w:r>
      <w:r>
        <w:t xml:space="preserve"> </w:t>
      </w:r>
      <w:hyperlink r:id="rId73">
        <w:r>
          <w:rPr>
            <w:rStyle w:val="Hyperlink"/>
          </w:rPr>
          <w:t xml:space="preserve">https://doi.org/10.1016/0022-3697(57)90059-8.</w:t>
        </w:r>
      </w:hyperlink>
    </w:p>
    <w:p>
      <w:pPr>
        <w:pStyle w:val="BodyText"/>
      </w:pPr>
      <w:r>
        <w:t xml:space="preserve">Katin, Konstantin P., Vladimir S. Prudkovskiy, and Mikhail M. Maslov. 2016.</w:t>
      </w:r>
      <w:r>
        <w:t xml:space="preserve"> </w:t>
      </w:r>
      <w:r>
        <w:t xml:space="preserve">“</w:t>
      </w:r>
      <w:r>
        <w:t xml:space="preserve">Influence of Methyl Functional Groups on the Stability of Cubane Carbon Cage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Physica E: Low-Dimensional Systems and Nanostructures</w:t>
      </w:r>
      <w:r>
        <w:t xml:space="preserve"> </w:t>
      </w:r>
      <w:r>
        <w:t xml:space="preserve">81 (July): 1–6.</w:t>
      </w:r>
      <w:r>
        <w:t xml:space="preserve"> </w:t>
      </w:r>
      <w:hyperlink r:id="rId74">
        <w:r>
          <w:rPr>
            <w:rStyle w:val="Hyperlink"/>
          </w:rPr>
          <w:t xml:space="preserve">https://doi.org/10.1016/j.physe.2016.02.010.</w:t>
        </w:r>
      </w:hyperlink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f4bb911b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29" Target="media/rId29.png" /><Relationship Type="http://schemas.openxmlformats.org/officeDocument/2006/relationships/image" Id="rId30" Target="media/rId30.png" /><Relationship Type="http://schemas.openxmlformats.org/officeDocument/2006/relationships/image" Id="rId32" Target="media/rId32.png" /><Relationship Type="http://schemas.openxmlformats.org/officeDocument/2006/relationships/hyperlink" Id="rId61" Target="https://doi.org/10.1002/(sici)1096-987x(199610)17:13&lt;1571::aid-jcc9&gt;3.0.co;2-p." TargetMode="External" /><Relationship Type="http://schemas.openxmlformats.org/officeDocument/2006/relationships/hyperlink" Id="rId67" Target="https://doi.org/10.1002/jcc.540141112." TargetMode="External" /><Relationship Type="http://schemas.openxmlformats.org/officeDocument/2006/relationships/hyperlink" Id="rId42" Target="https://doi.org/10.1002/prep.19940190105." TargetMode="External" /><Relationship Type="http://schemas.openxmlformats.org/officeDocument/2006/relationships/hyperlink" Id="rId38" Target="https://doi.org/10.1002/prep.19970220502." TargetMode="External" /><Relationship Type="http://schemas.openxmlformats.org/officeDocument/2006/relationships/hyperlink" Id="rId45" Target="https://doi.org/10.1002/prep.201600065." TargetMode="External" /><Relationship Type="http://schemas.openxmlformats.org/officeDocument/2006/relationships/hyperlink" Id="rId54" Target="https://doi.org/10.1007/s00214-009-0723-9." TargetMode="External" /><Relationship Type="http://schemas.openxmlformats.org/officeDocument/2006/relationships/hyperlink" Id="rId47" Target="https://doi.org/10.1007/s00894-013-1988-4." TargetMode="External" /><Relationship Type="http://schemas.openxmlformats.org/officeDocument/2006/relationships/hyperlink" Id="rId37" Target="https://doi.org/10.1007/s10573-005-0014-2." TargetMode="External" /><Relationship Type="http://schemas.openxmlformats.org/officeDocument/2006/relationships/hyperlink" Id="rId73" Target="https://doi.org/10.1016/0022-3697(57)90059-8." TargetMode="External" /><Relationship Type="http://schemas.openxmlformats.org/officeDocument/2006/relationships/hyperlink" Id="rId69" Target="https://doi.org/10.1016/j.cplett.2004.06.011." TargetMode="External" /><Relationship Type="http://schemas.openxmlformats.org/officeDocument/2006/relationships/hyperlink" Id="rId51" Target="https://doi.org/10.1016/j.jfluchem.2013.12.001." TargetMode="External" /><Relationship Type="http://schemas.openxmlformats.org/officeDocument/2006/relationships/hyperlink" Id="rId56" Target="https://doi.org/10.1016/j.jpcs.2017.04.020." TargetMode="External" /><Relationship Type="http://schemas.openxmlformats.org/officeDocument/2006/relationships/hyperlink" Id="rId44" Target="https://doi.org/10.1016/j.molstruc.2013.05.025." TargetMode="External" /><Relationship Type="http://schemas.openxmlformats.org/officeDocument/2006/relationships/hyperlink" Id="rId46" Target="https://doi.org/10.1016/j.molstruc.2016.01.027." TargetMode="External" /><Relationship Type="http://schemas.openxmlformats.org/officeDocument/2006/relationships/hyperlink" Id="rId41" Target="https://doi.org/10.1016/j.physb.2011.03.062." TargetMode="External" /><Relationship Type="http://schemas.openxmlformats.org/officeDocument/2006/relationships/hyperlink" Id="rId74" Target="https://doi.org/10.1016/j.physe.2016.02.010." TargetMode="External" /><Relationship Type="http://schemas.openxmlformats.org/officeDocument/2006/relationships/hyperlink" Id="rId68" Target="https://doi.org/10.1016/s0031-8914(34)90011-2." TargetMode="External" /><Relationship Type="http://schemas.openxmlformats.org/officeDocument/2006/relationships/hyperlink" Id="rId50" Target="https://doi.org/10.1021/acs.cgd.8b01228." TargetMode="External" /><Relationship Type="http://schemas.openxmlformats.org/officeDocument/2006/relationships/hyperlink" Id="rId43" Target="https://doi.org/10.1021/cg3010882." TargetMode="External" /><Relationship Type="http://schemas.openxmlformats.org/officeDocument/2006/relationships/hyperlink" Id="rId62" Target="https://doi.org/10.1021/ci600510j." TargetMode="External" /><Relationship Type="http://schemas.openxmlformats.org/officeDocument/2006/relationships/hyperlink" Id="rId70" Target="https://doi.org/10.1021/ct200030k." TargetMode="External" /><Relationship Type="http://schemas.openxmlformats.org/officeDocument/2006/relationships/hyperlink" Id="rId63" Target="https://doi.org/10.1021/ct300321a." TargetMode="External" /><Relationship Type="http://schemas.openxmlformats.org/officeDocument/2006/relationships/hyperlink" Id="rId64" Target="https://doi.org/10.1021/ct9003004." TargetMode="External" /><Relationship Type="http://schemas.openxmlformats.org/officeDocument/2006/relationships/hyperlink" Id="rId40" Target="https://doi.org/10.1021/j100111a043." TargetMode="External" /><Relationship Type="http://schemas.openxmlformats.org/officeDocument/2006/relationships/hyperlink" Id="rId52" Target="https://doi.org/10.1021/ja071299p." TargetMode="External" /><Relationship Type="http://schemas.openxmlformats.org/officeDocument/2006/relationships/hyperlink" Id="rId53" Target="https://doi.org/10.1021/ja809725p." TargetMode="External" /><Relationship Type="http://schemas.openxmlformats.org/officeDocument/2006/relationships/hyperlink" Id="rId71" Target="https://doi.org/10.1021/jp804765m." TargetMode="External" /><Relationship Type="http://schemas.openxmlformats.org/officeDocument/2006/relationships/hyperlink" Id="rId65" Target="https://doi.org/10.1021/jp9028968." TargetMode="External" /><Relationship Type="http://schemas.openxmlformats.org/officeDocument/2006/relationships/hyperlink" Id="rId66" Target="https://doi.org/10.1039/b816905e." TargetMode="External" /><Relationship Type="http://schemas.openxmlformats.org/officeDocument/2006/relationships/hyperlink" Id="rId48" Target="https://doi.org/10.1039/c5ra17578j." TargetMode="External" /><Relationship Type="http://schemas.openxmlformats.org/officeDocument/2006/relationships/hyperlink" Id="rId49" Target="https://doi.org/10.1039/c8ce00006a." TargetMode="External" /><Relationship Type="http://schemas.openxmlformats.org/officeDocument/2006/relationships/hyperlink" Id="rId57" Target="https://doi.org/10.1039/c8ce00763b." TargetMode="External" /><Relationship Type="http://schemas.openxmlformats.org/officeDocument/2006/relationships/hyperlink" Id="rId60" Target="https://doi.org/10.1063/1.438955." TargetMode="External" /><Relationship Type="http://schemas.openxmlformats.org/officeDocument/2006/relationships/hyperlink" Id="rId59" Target="https://doi.org/10.1063/1.464913." TargetMode="External" /><Relationship Type="http://schemas.openxmlformats.org/officeDocument/2006/relationships/hyperlink" Id="rId39" Target="https://doi.org/10.1070/rc2005v074n08abeh001179." TargetMode="External" /><Relationship Type="http://schemas.openxmlformats.org/officeDocument/2006/relationships/hyperlink" Id="rId72" Target="https://doi.org/10.1080/07370652.2018.1552338." TargetMode="External" /><Relationship Type="http://schemas.openxmlformats.org/officeDocument/2006/relationships/hyperlink" Id="rId58" Target="https://doi.org/10.1103/physrevb.37.785." TargetMode="External" /><Relationship Type="http://schemas.openxmlformats.org/officeDocument/2006/relationships/hyperlink" Id="rId55" Target="https://doi.org/10.1134/s1063783414070099.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61" Target="https://doi.org/10.1002/(sici)1096-987x(199610)17:13&lt;1571::aid-jcc9&gt;3.0.co;2-p." TargetMode="External" /><Relationship Type="http://schemas.openxmlformats.org/officeDocument/2006/relationships/hyperlink" Id="rId67" Target="https://doi.org/10.1002/jcc.540141112." TargetMode="External" /><Relationship Type="http://schemas.openxmlformats.org/officeDocument/2006/relationships/hyperlink" Id="rId42" Target="https://doi.org/10.1002/prep.19940190105." TargetMode="External" /><Relationship Type="http://schemas.openxmlformats.org/officeDocument/2006/relationships/hyperlink" Id="rId38" Target="https://doi.org/10.1002/prep.19970220502." TargetMode="External" /><Relationship Type="http://schemas.openxmlformats.org/officeDocument/2006/relationships/hyperlink" Id="rId45" Target="https://doi.org/10.1002/prep.201600065." TargetMode="External" /><Relationship Type="http://schemas.openxmlformats.org/officeDocument/2006/relationships/hyperlink" Id="rId54" Target="https://doi.org/10.1007/s00214-009-0723-9." TargetMode="External" /><Relationship Type="http://schemas.openxmlformats.org/officeDocument/2006/relationships/hyperlink" Id="rId47" Target="https://doi.org/10.1007/s00894-013-1988-4." TargetMode="External" /><Relationship Type="http://schemas.openxmlformats.org/officeDocument/2006/relationships/hyperlink" Id="rId37" Target="https://doi.org/10.1007/s10573-005-0014-2." TargetMode="External" /><Relationship Type="http://schemas.openxmlformats.org/officeDocument/2006/relationships/hyperlink" Id="rId73" Target="https://doi.org/10.1016/0022-3697(57)90059-8." TargetMode="External" /><Relationship Type="http://schemas.openxmlformats.org/officeDocument/2006/relationships/hyperlink" Id="rId69" Target="https://doi.org/10.1016/j.cplett.2004.06.011." TargetMode="External" /><Relationship Type="http://schemas.openxmlformats.org/officeDocument/2006/relationships/hyperlink" Id="rId51" Target="https://doi.org/10.1016/j.jfluchem.2013.12.001." TargetMode="External" /><Relationship Type="http://schemas.openxmlformats.org/officeDocument/2006/relationships/hyperlink" Id="rId56" Target="https://doi.org/10.1016/j.jpcs.2017.04.020." TargetMode="External" /><Relationship Type="http://schemas.openxmlformats.org/officeDocument/2006/relationships/hyperlink" Id="rId44" Target="https://doi.org/10.1016/j.molstruc.2013.05.025." TargetMode="External" /><Relationship Type="http://schemas.openxmlformats.org/officeDocument/2006/relationships/hyperlink" Id="rId46" Target="https://doi.org/10.1016/j.molstruc.2016.01.027." TargetMode="External" /><Relationship Type="http://schemas.openxmlformats.org/officeDocument/2006/relationships/hyperlink" Id="rId41" Target="https://doi.org/10.1016/j.physb.2011.03.062." TargetMode="External" /><Relationship Type="http://schemas.openxmlformats.org/officeDocument/2006/relationships/hyperlink" Id="rId74" Target="https://doi.org/10.1016/j.physe.2016.02.010." TargetMode="External" /><Relationship Type="http://schemas.openxmlformats.org/officeDocument/2006/relationships/hyperlink" Id="rId68" Target="https://doi.org/10.1016/s0031-8914(34)90011-2." TargetMode="External" /><Relationship Type="http://schemas.openxmlformats.org/officeDocument/2006/relationships/hyperlink" Id="rId50" Target="https://doi.org/10.1021/acs.cgd.8b01228." TargetMode="External" /><Relationship Type="http://schemas.openxmlformats.org/officeDocument/2006/relationships/hyperlink" Id="rId43" Target="https://doi.org/10.1021/cg3010882." TargetMode="External" /><Relationship Type="http://schemas.openxmlformats.org/officeDocument/2006/relationships/hyperlink" Id="rId62" Target="https://doi.org/10.1021/ci600510j." TargetMode="External" /><Relationship Type="http://schemas.openxmlformats.org/officeDocument/2006/relationships/hyperlink" Id="rId70" Target="https://doi.org/10.1021/ct200030k." TargetMode="External" /><Relationship Type="http://schemas.openxmlformats.org/officeDocument/2006/relationships/hyperlink" Id="rId63" Target="https://doi.org/10.1021/ct300321a." TargetMode="External" /><Relationship Type="http://schemas.openxmlformats.org/officeDocument/2006/relationships/hyperlink" Id="rId64" Target="https://doi.org/10.1021/ct9003004." TargetMode="External" /><Relationship Type="http://schemas.openxmlformats.org/officeDocument/2006/relationships/hyperlink" Id="rId40" Target="https://doi.org/10.1021/j100111a043." TargetMode="External" /><Relationship Type="http://schemas.openxmlformats.org/officeDocument/2006/relationships/hyperlink" Id="rId52" Target="https://doi.org/10.1021/ja071299p." TargetMode="External" /><Relationship Type="http://schemas.openxmlformats.org/officeDocument/2006/relationships/hyperlink" Id="rId53" Target="https://doi.org/10.1021/ja809725p." TargetMode="External" /><Relationship Type="http://schemas.openxmlformats.org/officeDocument/2006/relationships/hyperlink" Id="rId71" Target="https://doi.org/10.1021/jp804765m." TargetMode="External" /><Relationship Type="http://schemas.openxmlformats.org/officeDocument/2006/relationships/hyperlink" Id="rId65" Target="https://doi.org/10.1021/jp9028968." TargetMode="External" /><Relationship Type="http://schemas.openxmlformats.org/officeDocument/2006/relationships/hyperlink" Id="rId66" Target="https://doi.org/10.1039/b816905e." TargetMode="External" /><Relationship Type="http://schemas.openxmlformats.org/officeDocument/2006/relationships/hyperlink" Id="rId48" Target="https://doi.org/10.1039/c5ra17578j." TargetMode="External" /><Relationship Type="http://schemas.openxmlformats.org/officeDocument/2006/relationships/hyperlink" Id="rId49" Target="https://doi.org/10.1039/c8ce00006a." TargetMode="External" /><Relationship Type="http://schemas.openxmlformats.org/officeDocument/2006/relationships/hyperlink" Id="rId57" Target="https://doi.org/10.1039/c8ce00763b." TargetMode="External" /><Relationship Type="http://schemas.openxmlformats.org/officeDocument/2006/relationships/hyperlink" Id="rId60" Target="https://doi.org/10.1063/1.438955." TargetMode="External" /><Relationship Type="http://schemas.openxmlformats.org/officeDocument/2006/relationships/hyperlink" Id="rId59" Target="https://doi.org/10.1063/1.464913." TargetMode="External" /><Relationship Type="http://schemas.openxmlformats.org/officeDocument/2006/relationships/hyperlink" Id="rId39" Target="https://doi.org/10.1070/rc2005v074n08abeh001179." TargetMode="External" /><Relationship Type="http://schemas.openxmlformats.org/officeDocument/2006/relationships/hyperlink" Id="rId72" Target="https://doi.org/10.1080/07370652.2018.1552338." TargetMode="External" /><Relationship Type="http://schemas.openxmlformats.org/officeDocument/2006/relationships/hyperlink" Id="rId58" Target="https://doi.org/10.1103/physrevb.37.785." TargetMode="External" /><Relationship Type="http://schemas.openxmlformats.org/officeDocument/2006/relationships/hyperlink" Id="rId55" Target="https://doi.org/10.1134/s1063783414070099.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Kinetic stability and reactivity of silicon and fluorine-containing CL-20 derivatives</dc:title>
  <dc:creator>Konstantin P. Katin; Masoud Bezi Javan; Alexey I. Kochaev; Alireza Soltani; Mikhail M. Maslov</dc:creator>
  <dcterms:created xsi:type="dcterms:W3CDTF">2019-03-19T15:05:41Z</dcterms:created>
  <dcterms:modified xsi:type="dcterms:W3CDTF">2019-03-19T15:05:41Z</dcterms:modified>
</cp:coreProperties>
</file>