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Self-similarity</w:t>
      </w:r>
      <w:r>
        <w:t xml:space="preserve"> </w:t>
      </w:r>
      <w:r>
        <w:t xml:space="preserve">and</w:t>
      </w:r>
      <w:r>
        <w:t xml:space="preserve"> </w:t>
      </w:r>
      <w:r>
        <w:t xml:space="preserve">heterogeneity</w:t>
      </w:r>
    </w:p>
    <w:p>
      <w:pPr>
        <w:pStyle w:val="Author"/>
      </w:pPr>
      <w:r>
        <w:t xml:space="preserve">Kansuke</w:t>
      </w:r>
      <w:r>
        <w:t xml:space="preserve"> </w:t>
      </w:r>
      <w:r>
        <w:t xml:space="preserve">Uemura</w:t>
      </w:r>
    </w:p>
    <w:p>
      <w:pPr>
        <w:pStyle w:val="Abstract"/>
      </w:pPr>
      <w:r>
        <w:t xml:space="preserve">これが日本語で描けるのは割と有難いですね。(Andrews</w:t>
      </w:r>
      <w:r>
        <w:t xml:space="preserve"> </w:t>
      </w:r>
      <w:r>
        <w:t xml:space="preserve">2005;</w:t>
      </w:r>
      <w:r>
        <w:t xml:space="preserve"> </w:t>
      </w:r>
      <w:r>
        <w:t xml:space="preserve">Dieterich</w:t>
      </w:r>
      <w:r>
        <w:t xml:space="preserve"> </w:t>
      </w:r>
      <w:r>
        <w:t xml:space="preserve">1992)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br w:type="textWrapping"/>
      </w:r>
      <m:oMath>
        <m:r>
          <m:rPr>
            <m:sty m:val="p"/>
          </m:rPr>
          <m:t>exp</m:t>
        </m:r>
        <m:d>
          <m:dPr>
            <m:begChr m:val="{"/>
            <m:endChr m:val="}"/>
            <m:grow/>
          </m:dPr>
          <m:e>
            <m:r>
              <m:t>−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σ</m:t>
                </m:r>
                <m:bar>
                  <m:barPr>
                    <m:pos m:val="top"/>
                  </m:barPr>
                  <m:e>
                    <m:r>
                      <m:t>D</m:t>
                    </m:r>
                  </m:e>
                </m:bar>
              </m:den>
            </m:f>
          </m:e>
        </m:d>
        <m:r>
          <m:t>∝</m:t>
        </m:r>
        <m:nary>
          <m:naryPr>
            <m:chr m:val="∫"/>
            <m:limLoc m:val="subSup"/>
            <m:subHide m:val="0"/>
            <m:supHide m:val="0"/>
          </m:naryPr>
          <m:sub>
            <m:sSup>
              <m:e>
                <m:r>
                  <m:t/>
                </m:r>
              </m:e>
              <m:sup>
                <m:r>
                  <m:t>−</m:t>
                </m:r>
                <m:r>
                  <m:t>∞</m:t>
                </m:r>
              </m:sup>
            </m:sSup>
          </m:sub>
          <m:sup>
            <m:r>
              <m:t>∞</m:t>
            </m:r>
          </m:sup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e>
        </m:nary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x</m:t>
        </m:r>
        <m:r>
          <m:t> </m:t>
        </m:r>
        <m:r>
          <m:t>d</m:t>
        </m:r>
        <m:r>
          <m:t>x</m:t>
        </m:r>
      </m:oMath>
    </w:p>
    <w:p>
      <w:pPr>
        <w:pStyle w:val="BodyText"/>
      </w:pPr>
      <w:r>
        <w:t xml:space="preserve">Lorem ipsum dolor sit amet, consectetur adipiscing elit</w:t>
      </w:r>
      <w:r>
        <w:t xml:space="preserve"> </w:t>
      </w:r>
      <w:r>
        <w:t xml:space="preserve">(Zinszer et al. 2017).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m:oMath>
        <m:r>
          <m:t>y</m:t>
        </m:r>
        <m:r>
          <m:t> </m:t>
        </m:r>
        <m:r>
          <m:t>=</m:t>
        </m:r>
        <m:r>
          <m:t> </m:t>
        </m:r>
        <m:r>
          <m:t>a</m:t>
        </m:r>
        <m:r>
          <m:t>x</m:t>
        </m:r>
        <m:r>
          <m:t> </m:t>
        </m:r>
      </m:oMath>
      <m:oMath>
        <m:r>
          <m:t>y</m:t>
        </m:r>
        <m:r>
          <m:t>=</m:t>
        </m:r>
        <m:r>
          <m:t>a</m:t>
        </m:r>
        <m:r>
          <m:t>x</m:t>
        </m:r>
        <m:r>
          <m:t> </m:t>
        </m:r>
        <m:r>
          <m:t> </m:t>
        </m:r>
        <m:r>
          <m:t>=</m:t>
        </m:r>
        <m:r>
          <m:t>b</m:t>
        </m:r>
        <m:r>
          <m:t>x</m:t>
        </m:r>
      </m:oMath>
      <m:oMath>
        <m:r>
          <m:t>=</m:t>
        </m:r>
        <m:r>
          <m:t>b</m:t>
        </m:r>
        <m:r>
          <m:t>n</m:t>
        </m:r>
      </m:oMath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asdf"/>
      <w:bookmarkEnd w:id="22"/>
      <w:r>
        <w:t xml:space="preserve">asdf</w:t>
      </w:r>
    </w:p>
    <w:p>
      <w:pPr>
        <w:pStyle w:val="FirstParagraph"/>
      </w:pP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 1988; Boyer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Andrews DJ (2005)</w:t>
      </w:r>
      <w:r>
        <w:t xml:space="preserve"> </w:t>
      </w:r>
      <w:r>
        <w:t xml:space="preserve">Rupture dynamics with energy loss outside the slip zone</w:t>
      </w:r>
      <w:r>
        <w:t xml:space="preserve">. Journal of Geophysical Research. doi: 10.1029/2004jb003191</w:t>
      </w:r>
    </w:p>
    <w:p>
      <w:pPr>
        <w:pStyle w:val="BodyText"/>
      </w:pPr>
      <w:r>
        <w:t xml:space="preserve">Boyer PD (1998)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37:2296–2307. doi: 10.1002/(sici)1521-3773(19980918)37:17&lt;2296::aid-anie2296&gt;3.0.co;2-w</w:t>
      </w:r>
    </w:p>
    <w:p>
      <w:pPr>
        <w:pStyle w:val="BodyText"/>
      </w:pPr>
      <w:r>
        <w:t xml:space="preserve">Dieterich JH (1992)</w:t>
      </w:r>
      <w:r>
        <w:t xml:space="preserve"> </w:t>
      </w:r>
      <w:r>
        <w:t xml:space="preserve">Earthquake nucleation on faults with rate-and state-dependent strength</w:t>
      </w:r>
      <w:r>
        <w:t xml:space="preserve">. Tectonophysics 211:115–134. doi: 10.1016/0040-1951(92)90055-b</w:t>
      </w:r>
    </w:p>
    <w:p>
      <w:pPr>
        <w:pStyle w:val="BodyText"/>
      </w:pPr>
      <w:r>
        <w:t xml:space="preserve">Zhou J, Xue Z, Du Z, and others (1988)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27:5129–5135. doi: 10.1021/bi00414a027</w:t>
      </w:r>
    </w:p>
    <w:p>
      <w:pPr>
        <w:pStyle w:val="BodyText"/>
      </w:pPr>
      <w:r>
        <w:t xml:space="preserve">Zinszer K, Morrison K, Verma A, Brownstein JS (2017)</w:t>
      </w:r>
      <w:r>
        <w:t xml:space="preserve"> </w:t>
      </w:r>
      <w:r>
        <w:t xml:space="preserve">Spatial Determinants of Ebola Virus Disease Risk for the West African Epidemic.</w:t>
      </w:r>
      <w:r>
        <w:t xml:space="preserve">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1da34d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Self-similarity and heterogeneity</dc:title>
  <dc:creator>Kansuke Uemura</dc:creator>
  <dcterms:created xsi:type="dcterms:W3CDTF">2018-12-01T15:28:34Z</dcterms:created>
  <dcterms:modified xsi:type="dcterms:W3CDTF">2018-12-01T15:28:34Z</dcterms:modified>
</cp:coreProperties>
</file>