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Bruno</w:t>
      </w:r>
      <w:r>
        <w:t xml:space="preserve"> </w:t>
      </w:r>
      <w:r>
        <w:t xml:space="preserve">Gomes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Zhou, Junmei, Zhixiong Xue, Ziyun Du, Teri Melese, and Paul D. Boyer.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27 (14). American Chemical Society (</w:t>
      </w:r>
      <w:r>
        <w:t xml:space="preserve">ACS</w:t>
      </w:r>
      <w:r>
        <w:t xml:space="preserve">): 5129–35. doi:10.1021/bi00414a027.</w:t>
      </w:r>
    </w:p>
    <w:p>
      <w:pPr>
        <w:pStyle w:val="BodyText"/>
      </w:pPr>
      <w:r>
        <w:t xml:space="preserve">Boyer, Paul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37 (17). Wiley-Blackwell: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70a641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Template</dc:title>
  <dc:creator>Bruno Gomes</dc:creator>
  <dcterms:created xsi:type="dcterms:W3CDTF">2018-11-07T23:29:29Z</dcterms:created>
  <dcterms:modified xsi:type="dcterms:W3CDTF">2018-11-07T23:29:29Z</dcterms:modified>
</cp:coreProperties>
</file>