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2.png" ContentType="image/png"/>
  <Override PartName="/word/media/rId31.png" ContentType="image/png"/>
  <Override PartName="/word/media/rId3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AASTex</w:t>
      </w:r>
      <w:r>
        <w:t xml:space="preserve"> </w:t>
      </w:r>
      <w:r>
        <w:t xml:space="preserve">(v6.1)</w:t>
      </w:r>
      <w:r>
        <w:t xml:space="preserve"> </w:t>
      </w:r>
      <w:r>
        <w:t xml:space="preserve">example</w:t>
      </w:r>
      <w:r>
        <w:t xml:space="preserve"> </w:t>
      </w:r>
      <w:r>
        <w:t xml:space="preserve">article</w:t>
      </w:r>
      <w:r>
        <w:t xml:space="preserve"> </w:t>
      </w:r>
      <w:r>
        <w:t xml:space="preserve">for</w:t>
      </w:r>
      <w:r>
        <w:t xml:space="preserve"> </w:t>
      </w:r>
      <w:r>
        <w:t xml:space="preserve">Authorea</w:t>
      </w:r>
    </w:p>
    <w:p>
      <w:pPr>
        <w:pStyle w:val="Author"/>
      </w:pPr>
      <w:r>
        <w:t xml:space="preserve">Hyunki</w:t>
      </w:r>
      <w:r>
        <w:t xml:space="preserve"> </w:t>
      </w:r>
      <w:r>
        <w:t xml:space="preserve">Min</w:t>
      </w:r>
    </w:p>
    <w:p>
      <w:pPr>
        <w:pStyle w:val="Abstract"/>
      </w:pPr>
      <w:r>
        <w:t xml:space="preserve">This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example</w:t>
      </w:r>
      <w:r>
        <w:t xml:space="preserve"> </w:t>
      </w:r>
      <w:r>
        <w:t xml:space="preserve">manuscript</w:t>
      </w:r>
      <w:r>
        <w:t xml:space="preserve"> </w:t>
      </w:r>
      <w:r>
        <w:t xml:space="preserve">is</w:t>
      </w:r>
      <w:r>
        <w:t xml:space="preserve"> </w:t>
      </w:r>
      <w:r>
        <w:t xml:space="preserve">intended</w:t>
      </w:r>
      <w:r>
        <w:t xml:space="preserve"> </w:t>
      </w:r>
      <w:r>
        <w:t xml:space="preserve">to</w:t>
      </w:r>
      <w:r>
        <w:t xml:space="preserve"> </w:t>
      </w:r>
      <w:r>
        <w:t xml:space="preserve">serve</w:t>
      </w:r>
      <w:r>
        <w:t xml:space="preserve"> </w:t>
      </w:r>
      <w:r>
        <w:t xml:space="preserve">as</w:t>
      </w:r>
      <w:r>
        <w:t xml:space="preserve"> </w:t>
      </w:r>
      <w:r>
        <w:t xml:space="preserve">a</w:t>
      </w:r>
      <w:r>
        <w:t xml:space="preserve"> </w:t>
      </w:r>
      <w:r>
        <w:t xml:space="preserve">tutorial</w:t>
      </w:r>
      <w:r>
        <w:t xml:space="preserve"> </w:t>
      </w:r>
      <w:r>
        <w:t xml:space="preserve">and</w:t>
      </w:r>
      <w:r>
        <w:t xml:space="preserve"> </w:t>
      </w:r>
      <w:r>
        <w:t xml:space="preserve">template</w:t>
      </w:r>
      <w:r>
        <w:t xml:space="preserve"> </w:t>
      </w:r>
      <w:r>
        <w:t xml:space="preserve">for</w:t>
      </w:r>
      <w:r>
        <w:t xml:space="preserve"> </w:t>
      </w:r>
      <w:r>
        <w:t xml:space="preserve">authors</w:t>
      </w:r>
      <w:r>
        <w:t xml:space="preserve"> </w:t>
      </w:r>
      <w:r>
        <w:t xml:space="preserve">to</w:t>
      </w:r>
      <w:r>
        <w:t xml:space="preserve"> </w:t>
      </w:r>
      <w:r>
        <w:t xml:space="preserve">use</w:t>
      </w:r>
      <w:r>
        <w:t xml:space="preserve"> </w:t>
      </w:r>
      <w:r>
        <w:t xml:space="preserve">when</w:t>
      </w:r>
      <w:r>
        <w:t xml:space="preserve"> </w:t>
      </w:r>
      <w:r>
        <w:t xml:space="preserve">writing</w:t>
      </w:r>
      <w:r>
        <w:t xml:space="preserve"> </w:t>
      </w:r>
      <w:r>
        <w:t xml:space="preserve">their</w:t>
      </w:r>
      <w:r>
        <w:t xml:space="preserve"> </w:t>
      </w:r>
      <w:r>
        <w:t xml:space="preserve">own</w:t>
      </w:r>
      <w:r>
        <w:t xml:space="preserve"> </w:t>
      </w:r>
      <w:r>
        <w:t xml:space="preserve">AAS</w:t>
      </w:r>
      <w:r>
        <w:t xml:space="preserve"> </w:t>
      </w:r>
      <w:r>
        <w:t xml:space="preserve">Journal</w:t>
      </w:r>
      <w:r>
        <w:t xml:space="preserve"> </w:t>
      </w:r>
      <w:r>
        <w:t xml:space="preserve">articles</w:t>
      </w:r>
      <w:r>
        <w:t xml:space="preserve"> </w:t>
      </w:r>
      <w:r>
        <w:t xml:space="preserve">with</w:t>
      </w:r>
      <w:r>
        <w:t xml:space="preserve"> </w:t>
      </w:r>
      <w:r>
        <w:t xml:space="preserve">Authorea.</w:t>
      </w:r>
      <w:r>
        <w:t xml:space="preserve"> </w:t>
      </w:r>
      <w:r>
        <w:t xml:space="preserve">The</w:t>
      </w:r>
      <w:r>
        <w:t xml:space="preserve"> </w:t>
      </w:r>
      <w:r>
        <w:t xml:space="preserve">manuscript</w:t>
      </w:r>
      <w:r>
        <w:t xml:space="preserve"> </w:t>
      </w:r>
      <w:r>
        <w:t xml:space="preserve">includes</w:t>
      </w:r>
      <w:r>
        <w:t xml:space="preserve"> </w:t>
      </w:r>
      <w:r>
        <w:t xml:space="preserve">a</w:t>
      </w:r>
      <w:r>
        <w:t xml:space="preserve"> </w:t>
      </w:r>
      <w:r>
        <w:t xml:space="preserve">history</w:t>
      </w:r>
      <w:r>
        <w:t xml:space="preserve"> </w:t>
      </w:r>
      <w:r>
        <w:t xml:space="preserve">of</w:t>
      </w:r>
      <w:r>
        <w:t xml:space="preserve"> </w:t>
      </w:r>
      <w:r>
        <w:t xml:space="preserve">AASTeX</w:t>
      </w:r>
      <w:r>
        <w:t xml:space="preserve"> </w:t>
      </w:r>
      <w:r>
        <w:t xml:space="preserve"> </w:t>
      </w:r>
      <w:r>
        <w:t xml:space="preserve">and</w:t>
      </w:r>
      <w:r>
        <w:t xml:space="preserve"> </w:t>
      </w:r>
      <w:r>
        <w:t xml:space="preserve">documents</w:t>
      </w:r>
      <w:r>
        <w:t xml:space="preserve"> </w:t>
      </w:r>
      <w:r>
        <w:t xml:space="preserve">the</w:t>
      </w:r>
      <w:r>
        <w:t xml:space="preserve"> </w:t>
      </w:r>
      <w:r>
        <w:t xml:space="preserve">new</w:t>
      </w:r>
      <w:r>
        <w:t xml:space="preserve"> </w:t>
      </w:r>
      <w:r>
        <w:t xml:space="preserve">features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previous</w:t>
      </w:r>
      <w:r>
        <w:t xml:space="preserve"> </w:t>
      </w:r>
      <w:r>
        <w:t xml:space="preserve">version,</w:t>
      </w:r>
      <w:r>
        <w:t xml:space="preserve"> </w:t>
      </w:r>
      <w:r>
        <w:t xml:space="preserve">6.0,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new</w:t>
      </w:r>
      <w:r>
        <w:t xml:space="preserve"> </w:t>
      </w:r>
      <w:r>
        <w:t xml:space="preserve">features</w:t>
      </w:r>
      <w:r>
        <w:t xml:space="preserve"> </w:t>
      </w:r>
      <w:r>
        <w:t xml:space="preserve">in</w:t>
      </w:r>
      <w:r>
        <w:t xml:space="preserve"> </w:t>
      </w:r>
      <w:r>
        <w:t xml:space="preserve">version</w:t>
      </w:r>
      <w:r>
        <w:t xml:space="preserve"> </w:t>
      </w:r>
      <w:r>
        <w:t xml:space="preserve">6.1.</w:t>
      </w:r>
      <w:r>
        <w:t xml:space="preserve"> </w:t>
      </w:r>
      <w:r>
        <w:t xml:space="preserve">This</w:t>
      </w:r>
      <w:r>
        <w:t xml:space="preserve"> </w:t>
      </w:r>
      <w:r>
        <w:t xml:space="preserve">manuscript</w:t>
      </w:r>
      <w:r>
        <w:t xml:space="preserve"> </w:t>
      </w:r>
      <w:r>
        <w:t xml:space="preserve">includes</w:t>
      </w:r>
      <w:r>
        <w:t xml:space="preserve"> </w:t>
      </w:r>
      <w:r>
        <w:t xml:space="preserve">figure</w:t>
      </w:r>
      <w:r>
        <w:t xml:space="preserve"> </w:t>
      </w:r>
      <w:r>
        <w:t xml:space="preserve">and</w:t>
      </w:r>
      <w:r>
        <w:t xml:space="preserve"> </w:t>
      </w:r>
      <w:r>
        <w:t xml:space="preserve">table</w:t>
      </w:r>
      <w:r>
        <w:t xml:space="preserve"> </w:t>
      </w:r>
      <w:r>
        <w:t xml:space="preserve">examples</w:t>
      </w:r>
      <w:r>
        <w:t xml:space="preserve"> </w:t>
      </w:r>
      <w:r>
        <w:t xml:space="preserve">to</w:t>
      </w:r>
      <w:r>
        <w:t xml:space="preserve"> </w:t>
      </w:r>
      <w:r>
        <w:t xml:space="preserve">illustrate</w:t>
      </w:r>
      <w:r>
        <w:t xml:space="preserve"> </w:t>
      </w:r>
      <w:r>
        <w:t xml:space="preserve">these</w:t>
      </w:r>
      <w:r>
        <w:t xml:space="preserve"> </w:t>
      </w:r>
      <w:r>
        <w:t xml:space="preserve">new</w:t>
      </w:r>
      <w:r>
        <w:t xml:space="preserve"> </w:t>
      </w:r>
      <w:r>
        <w:t xml:space="preserve">features.</w:t>
      </w:r>
      <w:r>
        <w:t xml:space="preserve"> </w:t>
      </w:r>
      <w:r>
        <w:rPr>
          <w:b/>
        </w:rPr>
        <w:t xml:space="preserve">Authorea</w:t>
      </w:r>
      <w:r>
        <w:rPr>
          <w:b/>
        </w:rPr>
        <w:t xml:space="preserve"> </w:t>
      </w:r>
      <w:r>
        <w:rPr>
          <w:b/>
        </w:rPr>
        <w:t xml:space="preserve">features</w:t>
      </w:r>
      <w:r>
        <w:rPr>
          <w:b/>
        </w:rPr>
        <w:t xml:space="preserve"> </w:t>
      </w:r>
      <w:r>
        <w:rPr>
          <w:b/>
        </w:rPr>
        <w:t xml:space="preserve">a</w:t>
      </w:r>
      <w:r>
        <w:rPr>
          <w:b/>
        </w:rPr>
        <w:t xml:space="preserve"> </w:t>
      </w:r>
      <w:r>
        <w:rPr>
          <w:b/>
        </w:rPr>
        <w:t xml:space="preserve">rich</w:t>
      </w:r>
      <w:r>
        <w:rPr>
          <w:b/>
        </w:rPr>
        <w:t xml:space="preserve"> </w:t>
      </w:r>
      <w:r>
        <w:rPr>
          <w:b/>
        </w:rPr>
        <w:t xml:space="preserve">text</w:t>
      </w:r>
      <w:r>
        <w:rPr>
          <w:b/>
        </w:rPr>
        <w:t xml:space="preserve"> </w:t>
      </w:r>
      <w:r>
        <w:rPr>
          <w:b/>
        </w:rPr>
        <w:t xml:space="preserve">editor</w:t>
      </w:r>
      <w:r>
        <w:rPr>
          <w:b/>
        </w:rPr>
        <w:t xml:space="preserve"> </w:t>
      </w:r>
      <w:r>
        <w:rPr>
          <w:b/>
        </w:rPr>
        <w:t xml:space="preserve">so</w:t>
      </w:r>
      <w:r>
        <w:rPr>
          <w:b/>
        </w:rPr>
        <w:t xml:space="preserve"> </w:t>
      </w:r>
      <w:r>
        <w:rPr>
          <w:b/>
        </w:rPr>
        <w:t xml:space="preserve">that</w:t>
      </w:r>
      <w:r>
        <w:rPr>
          <w:b/>
        </w:rPr>
        <w:t xml:space="preserve"> </w:t>
      </w:r>
      <w:r>
        <w:rPr>
          <w:b/>
        </w:rPr>
        <w:t xml:space="preserve">you</w:t>
      </w:r>
      <w:r>
        <w:rPr>
          <w:b/>
        </w:rPr>
        <w:t xml:space="preserve"> </w:t>
      </w:r>
      <w:r>
        <w:rPr>
          <w:b/>
        </w:rPr>
        <w:t xml:space="preserve">can</w:t>
      </w:r>
      <w:r>
        <w:rPr>
          <w:b/>
        </w:rPr>
        <w:t xml:space="preserve"> </w:t>
      </w:r>
      <w:r>
        <w:rPr>
          <w:b/>
        </w:rPr>
        <w:t xml:space="preserve">write</w:t>
      </w:r>
      <w:r>
        <w:rPr>
          <w:b/>
        </w:rPr>
        <w:t xml:space="preserve"> </w:t>
      </w:r>
      <w:r>
        <w:rPr>
          <w:b/>
        </w:rPr>
        <w:t xml:space="preserve">in</w:t>
      </w:r>
      <w:r>
        <w:rPr>
          <w:b/>
        </w:rPr>
        <w:t xml:space="preserve"> </w:t>
      </w:r>
      <w:r>
        <w:rPr>
          <w:b/>
        </w:rPr>
        <w:t xml:space="preserve">LaTeX,</w:t>
      </w:r>
      <w:r>
        <w:rPr>
          <w:b/>
        </w:rPr>
        <w:t xml:space="preserve"> </w:t>
      </w:r>
      <w:r>
        <w:rPr>
          <w:b/>
        </w:rPr>
        <w:t xml:space="preserve">Markdown,</w:t>
      </w:r>
      <w:r>
        <w:rPr>
          <w:b/>
        </w:rPr>
        <w:t xml:space="preserve"> </w:t>
      </w:r>
      <w:r>
        <w:rPr>
          <w:b/>
        </w:rPr>
        <w:t xml:space="preserve">or</w:t>
      </w:r>
      <w:r>
        <w:rPr>
          <w:b/>
        </w:rPr>
        <w:t xml:space="preserve"> </w:t>
      </w:r>
      <w:r>
        <w:rPr>
          <w:b/>
        </w:rPr>
        <w:t xml:space="preserve">rich</w:t>
      </w:r>
      <w:r>
        <w:rPr>
          <w:b/>
        </w:rPr>
        <w:t xml:space="preserve"> </w:t>
      </w:r>
      <w:r>
        <w:rPr>
          <w:b/>
        </w:rPr>
        <w:t xml:space="preserve">text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render</w:t>
      </w:r>
      <w:r>
        <w:rPr>
          <w:b/>
        </w:rPr>
        <w:t xml:space="preserve"> </w:t>
      </w:r>
      <w:r>
        <w:rPr>
          <w:b/>
        </w:rPr>
        <w:t xml:space="preserve">directly</w:t>
      </w:r>
      <w:r>
        <w:rPr>
          <w:b/>
        </w:rPr>
        <w:t xml:space="preserve"> </w:t>
      </w:r>
      <w:r>
        <w:rPr>
          <w:b/>
        </w:rPr>
        <w:t xml:space="preserve">on</w:t>
      </w:r>
      <w:r>
        <w:rPr>
          <w:b/>
        </w:rPr>
        <w:t xml:space="preserve"> </w:t>
      </w:r>
      <w:r>
        <w:rPr>
          <w:b/>
        </w:rPr>
        <w:t xml:space="preserve">the</w:t>
      </w:r>
      <w:r>
        <w:rPr>
          <w:b/>
        </w:rPr>
        <w:t xml:space="preserve"> </w:t>
      </w:r>
      <w:r>
        <w:rPr>
          <w:b/>
        </w:rPr>
        <w:t xml:space="preserve">web.</w:t>
      </w:r>
      <w:r>
        <w:rPr>
          <w:b/>
        </w:rPr>
        <w:t xml:space="preserve"> </w:t>
      </w:r>
      <w:r>
        <w:rPr>
          <w:b/>
        </w:rPr>
        <w:t xml:space="preserve">Authorea</w:t>
      </w:r>
      <w:r>
        <w:rPr>
          <w:b/>
        </w:rPr>
        <w:t xml:space="preserve"> </w:t>
      </w:r>
      <w:r>
        <w:rPr>
          <w:b/>
        </w:rPr>
        <w:t xml:space="preserve">supports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renders</w:t>
      </w:r>
      <w:r>
        <w:rPr>
          <w:b/>
        </w:rPr>
        <w:t xml:space="preserve"> </w:t>
      </w:r>
      <w:r>
        <w:rPr>
          <w:b/>
        </w:rPr>
        <w:t xml:space="preserve">the</w:t>
      </w:r>
      <w:r>
        <w:rPr>
          <w:b/>
        </w:rPr>
        <w:t xml:space="preserve"> </w:t>
      </w:r>
      <w:r>
        <w:rPr>
          <w:b/>
        </w:rPr>
        <w:t xml:space="preserve">vast</w:t>
      </w:r>
      <w:r>
        <w:rPr>
          <w:b/>
        </w:rPr>
        <w:t xml:space="preserve"> </w:t>
      </w:r>
      <w:r>
        <w:rPr>
          <w:b/>
        </w:rPr>
        <w:t xml:space="preserve">majority</w:t>
      </w:r>
      <w:r>
        <w:rPr>
          <w:b/>
        </w:rPr>
        <w:t xml:space="preserve"> </w:t>
      </w:r>
      <w:r>
        <w:rPr>
          <w:b/>
        </w:rPr>
        <w:t xml:space="preserve">of</w:t>
      </w:r>
      <w:r>
        <w:rPr>
          <w:b/>
        </w:rPr>
        <w:t xml:space="preserve"> </w:t>
      </w:r>
      <w:r>
        <w:rPr>
          <w:b/>
        </w:rPr>
        <w:t xml:space="preserve">LaTeX</w:t>
      </w:r>
      <w:r>
        <w:rPr>
          <w:b/>
        </w:rPr>
        <w:t xml:space="preserve"> </w:t>
      </w:r>
      <w:r>
        <w:rPr>
          <w:b/>
        </w:rPr>
        <w:t xml:space="preserve">notation</w:t>
      </w:r>
      <w:r>
        <w:rPr>
          <w:b/>
        </w:rPr>
        <w:t xml:space="preserve"> </w:t>
      </w:r>
      <w:r>
        <w:rPr>
          <w:b/>
        </w:rPr>
        <w:t xml:space="preserve">needed</w:t>
      </w:r>
      <w:r>
        <w:rPr>
          <w:b/>
        </w:rPr>
        <w:t xml:space="preserve"> </w:t>
      </w:r>
      <w:r>
        <w:rPr>
          <w:b/>
        </w:rPr>
        <w:t xml:space="preserve">for</w:t>
      </w:r>
      <w:r>
        <w:rPr>
          <w:b/>
        </w:rPr>
        <w:t xml:space="preserve"> </w:t>
      </w:r>
      <w:r>
        <w:rPr>
          <w:b/>
        </w:rPr>
        <w:t xml:space="preserve">AAS</w:t>
      </w:r>
      <w:r>
        <w:rPr>
          <w:b/>
        </w:rPr>
        <w:t xml:space="preserve"> </w:t>
      </w:r>
      <w:r>
        <w:rPr>
          <w:b/>
        </w:rPr>
        <w:t xml:space="preserve">Journal</w:t>
      </w:r>
      <w:r>
        <w:rPr>
          <w:b/>
        </w:rPr>
        <w:t xml:space="preserve"> </w:t>
      </w:r>
      <w:r>
        <w:rPr>
          <w:b/>
        </w:rPr>
        <w:t xml:space="preserve">articles.</w:t>
      </w:r>
      <w:r>
        <w:rPr>
          <w:b/>
        </w:rPr>
        <w:t xml:space="preserve"> </w:t>
      </w:r>
      <w:r>
        <w:rPr>
          <w:b/>
        </w:rPr>
        <w:t xml:space="preserve">A</w:t>
      </w:r>
      <w:r>
        <w:rPr>
          <w:b/>
        </w:rPr>
        <w:t xml:space="preserve"> </w:t>
      </w:r>
      <w:r>
        <w:rPr>
          <w:b/>
        </w:rPr>
        <w:t xml:space="preserve">few</w:t>
      </w:r>
      <w:r>
        <w:rPr>
          <w:b/>
        </w:rPr>
        <w:t xml:space="preserve"> </w:t>
      </w:r>
      <w:r>
        <w:rPr>
          <w:b/>
        </w:rPr>
        <w:t xml:space="preserve">features</w:t>
      </w:r>
      <w:r>
        <w:rPr>
          <w:b/>
        </w:rPr>
        <w:t xml:space="preserve"> </w:t>
      </w:r>
      <w:r>
        <w:rPr>
          <w:b/>
        </w:rPr>
        <w:t xml:space="preserve">provided</w:t>
      </w:r>
      <w:r>
        <w:rPr>
          <w:b/>
        </w:rPr>
        <w:t xml:space="preserve"> </w:t>
      </w:r>
      <w:r>
        <w:rPr>
          <w:b/>
        </w:rPr>
        <w:t xml:space="preserve">by</w:t>
      </w:r>
      <w:r>
        <w:rPr>
          <w:b/>
        </w:rPr>
        <w:t xml:space="preserve"> </w:t>
      </w:r>
      <w:r>
        <w:rPr>
          <w:b/>
        </w:rPr>
        <w:t xml:space="preserve">AASTex</w:t>
      </w:r>
      <w:r>
        <w:rPr>
          <w:b/>
        </w:rPr>
        <w:t xml:space="preserve"> </w:t>
      </w:r>
      <w:r>
        <w:rPr>
          <w:b/>
        </w:rPr>
        <w:t xml:space="preserve">v6.1.</w:t>
      </w:r>
      <w:r>
        <w:rPr>
          <w:b/>
        </w:rPr>
        <w:t xml:space="preserve"> </w:t>
      </w:r>
      <w:r>
        <w:rPr>
          <w:b/>
        </w:rPr>
        <w:t xml:space="preserve">that</w:t>
      </w:r>
      <w:r>
        <w:rPr>
          <w:b/>
        </w:rPr>
        <w:t xml:space="preserve"> </w:t>
      </w:r>
      <w:r>
        <w:rPr>
          <w:b/>
        </w:rPr>
        <w:t xml:space="preserve">are</w:t>
      </w:r>
      <w:r>
        <w:rPr>
          <w:b/>
        </w:rPr>
        <w:t xml:space="preserve"> </w:t>
      </w:r>
      <w:r>
        <w:rPr>
          <w:b/>
        </w:rPr>
        <w:t xml:space="preserve">not</w:t>
      </w:r>
      <w:r>
        <w:rPr>
          <w:b/>
        </w:rPr>
        <w:t xml:space="preserve"> </w:t>
      </w:r>
      <w:r>
        <w:rPr>
          <w:b/>
        </w:rPr>
        <w:t xml:space="preserve">available</w:t>
      </w:r>
      <w:r>
        <w:rPr>
          <w:b/>
        </w:rPr>
        <w:t xml:space="preserve"> </w:t>
      </w:r>
      <w:r>
        <w:rPr>
          <w:b/>
        </w:rPr>
        <w:t xml:space="preserve">in</w:t>
      </w:r>
      <w:r>
        <w:rPr>
          <w:b/>
        </w:rPr>
        <w:t xml:space="preserve"> </w:t>
      </w:r>
      <w:r>
        <w:rPr>
          <w:b/>
        </w:rPr>
        <w:t xml:space="preserve">Authorea</w:t>
      </w:r>
      <w:r>
        <w:rPr>
          <w:b/>
        </w:rPr>
        <w:t xml:space="preserve"> </w:t>
      </w:r>
      <w:r>
        <w:rPr>
          <w:b/>
        </w:rPr>
        <w:t xml:space="preserve">have</w:t>
      </w:r>
      <w:r>
        <w:rPr>
          <w:b/>
        </w:rPr>
        <w:t xml:space="preserve"> </w:t>
      </w:r>
      <w:r>
        <w:rPr>
          <w:b/>
        </w:rPr>
        <w:t xml:space="preserve">been</w:t>
      </w:r>
      <w:r>
        <w:rPr>
          <w:b/>
        </w:rPr>
        <w:t xml:space="preserve"> </w:t>
      </w:r>
      <w:r>
        <w:rPr>
          <w:b/>
        </w:rPr>
        <w:t xml:space="preserve">listed</w:t>
      </w:r>
      <w:r>
        <w:rPr>
          <w:b/>
        </w:rPr>
        <w:t xml:space="preserve"> </w:t>
      </w:r>
      <w:r>
        <w:rPr>
          <w:b/>
        </w:rPr>
        <w:t xml:space="preserve">in</w:t>
      </w:r>
      <w:r>
        <w:rPr>
          <w:b/>
        </w:rPr>
        <w:t xml:space="preserve"> </w:t>
      </w:r>
      <w:r>
        <w:rPr>
          <w:b/>
        </w:rPr>
        <w:t xml:space="preserve">this</w:t>
      </w:r>
      <w:r>
        <w:rPr>
          <w:b/>
        </w:rPr>
        <w:t xml:space="preserve"> </w:t>
      </w:r>
      <w:r>
        <w:rPr>
          <w:b/>
        </w:rPr>
        <w:t xml:space="preserve">document</w:t>
      </w:r>
      <w:r>
        <w:t xml:space="preserve">.</w:t>
      </w:r>
      <w:r>
        <w:t xml:space="preserve"> </w:t>
      </w:r>
      <w:r>
        <w:t xml:space="preserve">Authors</w:t>
      </w:r>
      <w:r>
        <w:t xml:space="preserve"> </w:t>
      </w:r>
      <w:r>
        <w:t xml:space="preserve">are</w:t>
      </w:r>
      <w:r>
        <w:t xml:space="preserve"> </w:t>
      </w:r>
      <w:r>
        <w:t xml:space="preserve">welcome</w:t>
      </w:r>
      <w:r>
        <w:t xml:space="preserve"> </w:t>
      </w:r>
      <w:r>
        <w:t xml:space="preserve">replace</w:t>
      </w:r>
      <w:r>
        <w:t xml:space="preserve"> </w:t>
      </w:r>
      <w:r>
        <w:t xml:space="preserve">the</w:t>
      </w:r>
      <w:r>
        <w:t xml:space="preserve"> </w:t>
      </w:r>
      <w:r>
        <w:t xml:space="preserve">text,</w:t>
      </w:r>
      <w:r>
        <w:t xml:space="preserve"> </w:t>
      </w:r>
      <w:r>
        <w:t xml:space="preserve">tables,</w:t>
      </w:r>
      <w:r>
        <w:t xml:space="preserve"> </w:t>
      </w:r>
      <w:r>
        <w:t xml:space="preserve">figures,</w:t>
      </w:r>
      <w:r>
        <w:t xml:space="preserve"> </w:t>
      </w:r>
      <w:r>
        <w:t xml:space="preserve">and</w:t>
      </w:r>
      <w:r>
        <w:t xml:space="preserve"> </w:t>
      </w:r>
      <w:r>
        <w:t xml:space="preserve">bibliography</w:t>
      </w:r>
      <w:r>
        <w:t xml:space="preserve"> </w:t>
      </w:r>
      <w:r>
        <w:t xml:space="preserve">with</w:t>
      </w:r>
      <w:r>
        <w:t xml:space="preserve"> </w:t>
      </w:r>
      <w:r>
        <w:t xml:space="preserve">their</w:t>
      </w:r>
      <w:r>
        <w:t xml:space="preserve"> </w:t>
      </w:r>
      <w:r>
        <w:t xml:space="preserve">own</w:t>
      </w:r>
      <w:r>
        <w:t xml:space="preserve"> </w:t>
      </w:r>
      <w:r>
        <w:t xml:space="preserve">and</w:t>
      </w:r>
      <w:r>
        <w:t xml:space="preserve"> </w:t>
      </w:r>
      <w:r>
        <w:t xml:space="preserve">submit</w:t>
      </w:r>
      <w:r>
        <w:t xml:space="preserve"> </w:t>
      </w:r>
      <w:r>
        <w:t xml:space="preserve">the</w:t>
      </w:r>
      <w:r>
        <w:t xml:space="preserve"> </w:t>
      </w:r>
      <w:r>
        <w:t xml:space="preserve">resulting</w:t>
      </w:r>
      <w:r>
        <w:t xml:space="preserve"> </w:t>
      </w:r>
      <w:r>
        <w:t xml:space="preserve">manuscript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AAS</w:t>
      </w:r>
      <w:r>
        <w:t xml:space="preserve"> </w:t>
      </w:r>
      <w:r>
        <w:t xml:space="preserve">Journals</w:t>
      </w:r>
      <w:r>
        <w:t xml:space="preserve"> </w:t>
      </w:r>
      <w:r>
        <w:t xml:space="preserve">peer</w:t>
      </w:r>
      <w:r>
        <w:t xml:space="preserve"> </w:t>
      </w:r>
      <w:r>
        <w:t xml:space="preserve">review</w:t>
      </w:r>
      <w:r>
        <w:t xml:space="preserve"> </w:t>
      </w:r>
      <w:r>
        <w:t xml:space="preserve">system.</w:t>
      </w:r>
      <w:r>
        <w:t xml:space="preserve"> </w:t>
      </w:r>
      <w:r>
        <w:t xml:space="preserve">The</w:t>
      </w:r>
      <w:r>
        <w:t xml:space="preserve"> </w:t>
      </w:r>
      <w:r>
        <w:t xml:space="preserve">first</w:t>
      </w:r>
      <w:r>
        <w:t xml:space="preserve"> </w:t>
      </w:r>
      <w:r>
        <w:t xml:space="preserve">lesson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tutorial</w:t>
      </w:r>
      <w:r>
        <w:t xml:space="preserve"> </w:t>
      </w:r>
      <w:r>
        <w:t xml:space="preserve">is</w:t>
      </w:r>
      <w:r>
        <w:t xml:space="preserve"> </w:t>
      </w:r>
      <w:r>
        <w:t xml:space="preserve">to</w:t>
      </w:r>
      <w:r>
        <w:t xml:space="preserve"> </w:t>
      </w:r>
      <w:r>
        <w:t xml:space="preserve">remind</w:t>
      </w:r>
      <w:r>
        <w:t xml:space="preserve"> </w:t>
      </w:r>
      <w:r>
        <w:t xml:space="preserve">authors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AAS</w:t>
      </w:r>
      <w:r>
        <w:t xml:space="preserve"> </w:t>
      </w:r>
      <w:r>
        <w:t xml:space="preserve">Journals,</w:t>
      </w:r>
      <w:r>
        <w:t xml:space="preserve"> </w:t>
      </w:r>
      <w:r>
        <w:t xml:space="preserve">the</w:t>
      </w:r>
      <w:r>
        <w:t xml:space="preserve"> </w:t>
      </w:r>
      <w:r>
        <w:t xml:space="preserve">Astrophysical</w:t>
      </w:r>
      <w:r>
        <w:t xml:space="preserve"> </w:t>
      </w:r>
      <w:r>
        <w:t xml:space="preserve">Journal</w:t>
      </w:r>
      <w:r>
        <w:t xml:space="preserve"> </w:t>
      </w:r>
      <w:r>
        <w:t xml:space="preserve">(ApJ),</w:t>
      </w:r>
      <w:r>
        <w:t xml:space="preserve"> </w:t>
      </w:r>
      <w:r>
        <w:t xml:space="preserve">the</w:t>
      </w:r>
      <w:r>
        <w:t xml:space="preserve"> </w:t>
      </w:r>
      <w:r>
        <w:t xml:space="preserve">Astrophysical</w:t>
      </w:r>
      <w:r>
        <w:t xml:space="preserve"> </w:t>
      </w:r>
      <w:r>
        <w:t xml:space="preserve">Journal</w:t>
      </w:r>
      <w:r>
        <w:t xml:space="preserve"> </w:t>
      </w:r>
      <w:r>
        <w:t xml:space="preserve">Letters</w:t>
      </w:r>
      <w:r>
        <w:t xml:space="preserve"> </w:t>
      </w:r>
      <w:r>
        <w:t xml:space="preserve">(ApJL),</w:t>
      </w:r>
      <w:r>
        <w:t xml:space="preserve"> </w:t>
      </w:r>
      <w:r>
        <w:t xml:space="preserve">and</w:t>
      </w:r>
      <w:r>
        <w:t xml:space="preserve"> </w:t>
      </w:r>
      <w:r>
        <w:t xml:space="preserve">Astronomical</w:t>
      </w:r>
      <w:r>
        <w:t xml:space="preserve"> </w:t>
      </w:r>
      <w:r>
        <w:t xml:space="preserve">Journal</w:t>
      </w:r>
      <w:r>
        <w:t xml:space="preserve"> </w:t>
      </w:r>
      <w:r>
        <w:t xml:space="preserve">(AJ),</w:t>
      </w:r>
      <w:r>
        <w:t xml:space="preserve"> </w:t>
      </w:r>
      <w:r>
        <w:t xml:space="preserve">all</w:t>
      </w:r>
      <w:r>
        <w:t xml:space="preserve"> </w:t>
      </w:r>
      <w:r>
        <w:t xml:space="preserve">have</w:t>
      </w:r>
      <w:r>
        <w:t xml:space="preserve"> </w:t>
      </w:r>
      <w:r>
        <w:t xml:space="preserve">a</w:t>
      </w:r>
      <w:r>
        <w:t xml:space="preserve"> </w:t>
      </w:r>
      <w:r>
        <w:t xml:space="preserve">250</w:t>
      </w:r>
      <w:r>
        <w:t xml:space="preserve"> </w:t>
      </w:r>
      <w:r>
        <w:t xml:space="preserve">word</w:t>
      </w:r>
      <w:r>
        <w:t xml:space="preserve"> </w:t>
      </w:r>
      <w:r>
        <w:t xml:space="preserve">limit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abstract.</w:t>
      </w:r>
      <w:r>
        <w:t xml:space="preserve"> </w:t>
      </w:r>
      <w:r>
        <w:t xml:space="preserve">If</w:t>
      </w:r>
      <w:r>
        <w:t xml:space="preserve"> </w:t>
      </w:r>
      <w:r>
        <w:t xml:space="preserve">you</w:t>
      </w:r>
      <w:r>
        <w:t xml:space="preserve"> </w:t>
      </w:r>
      <w:r>
        <w:t xml:space="preserve">exceed</w:t>
      </w:r>
      <w:r>
        <w:t xml:space="preserve"> </w:t>
      </w:r>
      <w:r>
        <w:t xml:space="preserve">this</w:t>
      </w:r>
      <w:r>
        <w:t xml:space="preserve"> </w:t>
      </w:r>
      <w:r>
        <w:t xml:space="preserve">length</w:t>
      </w:r>
      <w:r>
        <w:t xml:space="preserve"> </w:t>
      </w:r>
      <w:r>
        <w:t xml:space="preserve">the</w:t>
      </w:r>
      <w:r>
        <w:t xml:space="preserve"> </w:t>
      </w:r>
      <w:r>
        <w:t xml:space="preserve">Editorial</w:t>
      </w:r>
      <w:r>
        <w:t xml:space="preserve"> </w:t>
      </w:r>
      <w:r>
        <w:t xml:space="preserve">office</w:t>
      </w:r>
      <w:r>
        <w:t xml:space="preserve"> </w:t>
      </w:r>
      <w:r>
        <w:t xml:space="preserve">will</w:t>
      </w:r>
      <w:r>
        <w:t xml:space="preserve"> </w:t>
      </w:r>
      <w:r>
        <w:t xml:space="preserve">ask</w:t>
      </w:r>
      <w:r>
        <w:t xml:space="preserve"> </w:t>
      </w:r>
      <w:r>
        <w:t xml:space="preserve">you</w:t>
      </w:r>
      <w:r>
        <w:t xml:space="preserve"> </w:t>
      </w:r>
      <w:r>
        <w:t xml:space="preserve">to</w:t>
      </w:r>
      <w:r>
        <w:t xml:space="preserve"> </w:t>
      </w:r>
      <w:r>
        <w:t xml:space="preserve">shorten</w:t>
      </w:r>
      <w:r>
        <w:t xml:space="preserve"> </w:t>
      </w:r>
      <w:r>
        <w:t xml:space="preserve">it.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LaTeX</w:t>
      </w:r>
      <w:r>
        <w:t xml:space="preserve"> </w:t>
      </w:r>
      <w:r>
        <w:rPr>
          <w:rStyle w:val="FootnoteReference"/>
        </w:rPr>
        <w:footnoteReference w:id="22"/>
      </w:r>
      <w:r>
        <w:t xml:space="preserve"> </w:t>
      </w:r>
      <w:r>
        <w:t xml:space="preserve">is a document markup</w:t>
      </w:r>
      <w:r>
        <w:t xml:space="preserve"> </w:t>
      </w:r>
      <w:r>
        <w:t xml:space="preserve">language that is particularly well suited for the publication of</w:t>
      </w:r>
      <w:r>
        <w:t xml:space="preserve"> </w:t>
      </w:r>
      <w:r>
        <w:t xml:space="preserve">mathematical and scientific articles (Lamport 1994).</w:t>
      </w:r>
      <w:r>
        <w:t xml:space="preserve"> </w:t>
      </w:r>
      <w:r>
        <w:t xml:space="preserve">LaTeX</w:t>
      </w:r>
      <w:r>
        <w:t xml:space="preserve"> was written</w:t>
      </w:r>
      <w:r>
        <w:t xml:space="preserve"> </w:t>
      </w:r>
      <w:r>
        <w:t xml:space="preserve">in 1985 by Leslie Lamport who based it on the TeX typesetting language</w:t>
      </w:r>
      <w:r>
        <w:t xml:space="preserve"> </w:t>
      </w:r>
      <w:r>
        <w:t xml:space="preserve">which itself was created by Donald E. Knuth in 1978. In 1988 a suite of</w:t>
      </w:r>
      <w:r>
        <w:t xml:space="preserve"> </w:t>
      </w:r>
      <w:r>
        <w:t xml:space="preserve">LaTeX</w:t>
      </w:r>
      <w:r>
        <w:t xml:space="preserve"> macros were developed to investigate electronic submission and</w:t>
      </w:r>
      <w:r>
        <w:t xml:space="preserve"> </w:t>
      </w:r>
      <w:r>
        <w:t xml:space="preserve">publication of AAS Journal articles (</w:t>
      </w:r>
      <w:r>
        <w:t xml:space="preserve">“</w:t>
      </w:r>
      <w:r>
        <w:t xml:space="preserve">Baas, 21, 780</w:t>
      </w:r>
      <w:r>
        <w:t xml:space="preserve">”</w:t>
      </w:r>
      <w:r>
        <w:t xml:space="preserve"> </w:t>
      </w:r>
      <w:r>
        <w:t xml:space="preserve">1989). Shortly</w:t>
      </w:r>
      <w:r>
        <w:t xml:space="preserve"> </w:t>
      </w:r>
      <w:r>
        <w:t xml:space="preserve">afterwards, Chris Biemesdefer merged these macros and more into a</w:t>
      </w:r>
      <w:r>
        <w:t xml:space="preserve"> </w:t>
      </w:r>
      <w:r>
        <w:t xml:space="preserve">LaTeX</w:t>
      </w:r>
      <w:r>
        <w:t xml:space="preserve">2.08 style file called</w:t>
      </w:r>
      <w:r>
        <w:t xml:space="preserve"> </w:t>
      </w:r>
      <w:r>
        <w:t xml:space="preserve">AASTeX</w:t>
      </w:r>
      <w:r>
        <w:t xml:space="preserve">. These early</w:t>
      </w:r>
      <w:r>
        <w:t xml:space="preserve"> </w:t>
      </w:r>
      <w:r>
        <w:t xml:space="preserve">AASTeX</w:t>
      </w:r>
      <w:r>
        <w:t xml:space="preserve"> versions introduced</w:t>
      </w:r>
      <w:r>
        <w:t xml:space="preserve"> </w:t>
      </w:r>
      <w:r>
        <w:t xml:space="preserve">many common commands and practices that authors take for granted today.</w:t>
      </w:r>
      <w:r>
        <w:t xml:space="preserve"> </w:t>
      </w:r>
      <w:r>
        <w:t xml:space="preserve">Substantial revisions</w:t>
      </w:r>
      <w:r>
        <w:t xml:space="preserve"> </w:t>
      </w:r>
      <w:r>
        <w:t xml:space="preserve">were made by Lee Brotzman and Pierre Landau when the package was updated to</w:t>
      </w:r>
      <w:r>
        <w:t xml:space="preserve"> </w:t>
      </w:r>
      <w:r>
        <w:t xml:space="preserve">v4.0. AASTeX v5.0, written in 1995 by Arthur Ogawa, upgraded to</w:t>
      </w:r>
      <w:r>
        <w:t xml:space="preserve"> </w:t>
      </w:r>
      <w:r>
        <w:t xml:space="preserve">LaTeX</w:t>
      </w:r>
      <w:r>
        <w:t xml:space="preserve"> 2e</w:t>
      </w:r>
      <w:r>
        <w:t xml:space="preserve"> </w:t>
      </w:r>
      <w:r>
        <w:t xml:space="preserve">which uses the document class in lieu of a style file. Other improvements</w:t>
      </w:r>
      <w:r>
        <w:t xml:space="preserve"> </w:t>
      </w:r>
      <w:r>
        <w:t xml:space="preserve">to version 5 included hypertext support, landscape deluxetables and</w:t>
      </w:r>
      <w:r>
        <w:t xml:space="preserve"> </w:t>
      </w:r>
      <w:r>
        <w:t xml:space="preserve">improved figure support to facilitate electronic submission.</w:t>
      </w:r>
      <w:r>
        <w:t xml:space="preserve"> </w:t>
      </w:r>
      <w:r>
        <w:t xml:space="preserve">AASTeX</w:t>
      </w:r>
      <w:r>
        <w:t xml:space="preserve"> v5.2 was released in 2005 and introduced additional graphics</w:t>
      </w:r>
      <w:r>
        <w:t xml:space="preserve"> </w:t>
      </w:r>
      <w:r>
        <w:t xml:space="preserve">support plus new mark up to identifier astronomical objects, datasets and</w:t>
      </w:r>
      <w:r>
        <w:t xml:space="preserve"> </w:t>
      </w:r>
      <w:r>
        <w:t xml:space="preserve">facilities.</w:t>
      </w:r>
    </w:p>
    <w:p>
      <w:pPr>
        <w:pStyle w:val="BodyText"/>
      </w:pPr>
      <w:r>
        <w:t xml:space="preserve">In 1996 Maxim Markevitch modified the AAS preprint style file, aaspp4.sty,</w:t>
      </w:r>
      <w:r>
        <w:t xml:space="preserve"> </w:t>
      </w:r>
      <w:r>
        <w:t xml:space="preserve">to closely emulate the very tight, two column style of a typeset</w:t>
      </w:r>
      <w:r>
        <w:t xml:space="preserve"> </w:t>
      </w:r>
      <w:r>
        <w:t xml:space="preserve">Astrophysical Journal article. The result was emulateapj.sty. A year</w:t>
      </w:r>
      <w:r>
        <w:t xml:space="preserve"> </w:t>
      </w:r>
      <w:r>
        <w:t xml:space="preserve">later Alexey Vikhlinin took over development and maintenance. In 2001 he</w:t>
      </w:r>
      <w:r>
        <w:t xml:space="preserve"> </w:t>
      </w:r>
      <w:r>
        <w:t xml:space="preserve">converted emulateapj into a class file in</w:t>
      </w:r>
      <w:r>
        <w:t xml:space="preserve"> </w:t>
      </w:r>
      <w:r>
        <w:t xml:space="preserve">LaTeX</w:t>
      </w:r>
      <w:r>
        <w:t xml:space="preserve"> 2e and in 2003 Vikhlinin</w:t>
      </w:r>
      <w:r>
        <w:t xml:space="preserve"> </w:t>
      </w:r>
      <w:r>
        <w:t xml:space="preserve">completely rewrote emulateapj based on the APS Journal’s RevTEX class.</w:t>
      </w:r>
    </w:p>
    <w:p>
      <w:pPr>
        <w:pStyle w:val="BodyText"/>
      </w:pPr>
      <w:r>
        <w:t xml:space="preserve">During this time emulateapj gained growing acceptance in the astronomical</w:t>
      </w:r>
      <w:r>
        <w:t xml:space="preserve"> </w:t>
      </w:r>
      <w:r>
        <w:t xml:space="preserve">community as it filled an author need to obtain an approximate number of</w:t>
      </w:r>
      <w:r>
        <w:t xml:space="preserve"> </w:t>
      </w:r>
      <w:r>
        <w:t xml:space="preserve">manuscript pages prior to submission for cost and length estimates. The</w:t>
      </w:r>
      <w:r>
        <w:t xml:space="preserve"> </w:t>
      </w:r>
      <w:r>
        <w:t xml:space="preserve">tighter typeset also had the added advantage of saving paper when printing</w:t>
      </w:r>
      <w:r>
        <w:t xml:space="preserve"> </w:t>
      </w:r>
      <w:r>
        <w:t xml:space="preserve">out hard copies.</w:t>
      </w:r>
    </w:p>
    <w:p>
      <w:pPr>
        <w:pStyle w:val="BodyText"/>
      </w:pPr>
      <w:r>
        <w:t xml:space="preserve">Even though author publication charges are no longer based on print pages</w:t>
      </w:r>
      <w:r>
        <w:t xml:space="preserve"> </w:t>
      </w:r>
      <w:r>
        <w:rPr>
          <w:rStyle w:val="FootnoteReference"/>
        </w:rPr>
        <w:footnoteReference w:id="24"/>
      </w:r>
      <w:r>
        <w:t xml:space="preserve"> </w:t>
      </w:r>
      <w:r>
        <w:t xml:space="preserve">the emulateapj class file</w:t>
      </w:r>
      <w:r>
        <w:t xml:space="preserve"> </w:t>
      </w:r>
      <w:r>
        <w:t xml:space="preserve">has proven to be extremely popular with AAS Journal authors. An informal</w:t>
      </w:r>
      <w:r>
        <w:t xml:space="preserve"> </w:t>
      </w:r>
      <w:r>
        <w:t xml:space="preserve">analysis of submitted</w:t>
      </w:r>
      <w:r>
        <w:t xml:space="preserve"> </w:t>
      </w:r>
      <w:r>
        <w:t xml:space="preserve">LaTeX</w:t>
      </w:r>
      <w:r>
        <w:t xml:space="preserve"> manuscripts in 2015 revealed that</w:t>
      </w:r>
      <w:r>
        <w:t xml:space="preserve"> </w:t>
      </w:r>
      <m:oMath>
        <m:r>
          <m:t>∼</m:t>
        </m:r>
      </m:oMath>
      <w:r>
        <w:t xml:space="preserve">65%</w:t>
      </w:r>
      <w:r>
        <w:t xml:space="preserve"> </w:t>
      </w:r>
      <w:r>
        <w:t xml:space="preserve">either called emulateapj or have a commented emulateapj classfile call</w:t>
      </w:r>
      <w:r>
        <w:t xml:space="preserve"> </w:t>
      </w:r>
      <w:r>
        <w:t xml:space="preserve">indicating it was used at some stage of the manuscript construction.</w:t>
      </w:r>
      <w:r>
        <w:t xml:space="preserve"> </w:t>
      </w:r>
      <w:r>
        <w:t xml:space="preserve">Clearly authors want to have access to a tightly typeset version of the</w:t>
      </w:r>
      <w:r>
        <w:t xml:space="preserve"> </w:t>
      </w:r>
      <w:r>
        <w:t xml:space="preserve">article when corresponding with co-authors and for preprint submissions.</w:t>
      </w:r>
    </w:p>
    <w:p>
      <w:pPr>
        <w:pStyle w:val="BodyText"/>
      </w:pPr>
      <w:r>
        <w:t xml:space="preserve">When planning the next</w:t>
      </w:r>
      <w:r>
        <w:t xml:space="preserve"> </w:t>
      </w:r>
      <w:r>
        <w:t xml:space="preserve">AASTeX</w:t>
      </w:r>
      <w:r>
        <w:t xml:space="preserve"> release the popularity of emulateapj played</w:t>
      </w:r>
      <w:r>
        <w:t xml:space="preserve"> </w:t>
      </w:r>
      <w:r>
        <w:t xml:space="preserve">an important roll in the decision to drop the old base code and adopt and</w:t>
      </w:r>
      <w:r>
        <w:t xml:space="preserve"> </w:t>
      </w:r>
      <w:r>
        <w:t xml:space="preserve">modify emulateapj for</w:t>
      </w:r>
      <w:r>
        <w:t xml:space="preserve"> </w:t>
      </w:r>
      <w:r>
        <w:t xml:space="preserve">AASTeX</w:t>
      </w:r>
      <w:r>
        <w:t xml:space="preserve"> v6.+ instead. The change brings</w:t>
      </w:r>
      <w:r>
        <w:t xml:space="preserve"> </w:t>
      </w:r>
      <w:r>
        <w:t xml:space="preserve">AASTeX</w:t>
      </w:r>
      <w:r>
        <w:t xml:space="preserve">inline with what the majority of authors are already using while still</w:t>
      </w:r>
      <w:r>
        <w:t xml:space="preserve"> </w:t>
      </w:r>
      <w:r>
        <w:t xml:space="preserve">delivering new and improved features.</w:t>
      </w:r>
      <w:r>
        <w:t xml:space="preserve"> </w:t>
      </w:r>
      <w:r>
        <w:t xml:space="preserve">AASTeX</w:t>
      </w:r>
      <w:r>
        <w:t xml:space="preserve"> v6.0 and v6.1 were written</w:t>
      </w:r>
      <w:r>
        <w:t xml:space="preserve"> </w:t>
      </w:r>
      <w:r>
        <w:t xml:space="preserve">by Amy Hendrickson and released in January and October 2016, respectively.</w:t>
      </w:r>
    </w:p>
    <w:p>
      <w:pPr>
        <w:pStyle w:val="BodyText"/>
      </w:pPr>
      <w:r>
        <w:t xml:space="preserve">The rest of this article provides information and examples on how to create</w:t>
      </w:r>
      <w:r>
        <w:t xml:space="preserve"> </w:t>
      </w:r>
      <w:r>
        <w:t xml:space="preserve">your own AAS Journal manuscript with v6.1. Special emphasis is placed on</w:t>
      </w:r>
      <w:r>
        <w:t xml:space="preserve"> </w:t>
      </w:r>
      <w:r>
        <w:t xml:space="preserve">how to use the full potential of</w:t>
      </w:r>
      <w:r>
        <w:t xml:space="preserve"> </w:t>
      </w:r>
      <w:r>
        <w:t xml:space="preserve">AASTeX</w:t>
      </w:r>
      <w:r>
        <w:t xml:space="preserve"> v6+. The next section describes</w:t>
      </w:r>
      <w:r>
        <w:t xml:space="preserve"> </w:t>
      </w:r>
      <w:r>
        <w:t xml:space="preserve">the different manuscript styles available and how they differ from past</w:t>
      </w:r>
      <w:r>
        <w:t xml:space="preserve"> </w:t>
      </w:r>
      <w:r>
        <w:t xml:space="preserve">releases. Section ??? describes how tables and figures are</w:t>
      </w:r>
      <w:r>
        <w:t xml:space="preserve"> </w:t>
      </w:r>
      <w:r>
        <w:t xml:space="preserve">placed in a</w:t>
      </w:r>
      <w:r>
        <w:t xml:space="preserve"> </w:t>
      </w:r>
      <w:r>
        <w:t xml:space="preserve">LaTeX</w:t>
      </w:r>
      <w:r>
        <w:t xml:space="preserve"> document. Specific examples of tables, Section</w:t>
      </w:r>
      <w:r>
        <w:t xml:space="preserve"> </w:t>
      </w:r>
      <w:r>
        <w:t xml:space="preserve">???, and figures, Section ???, are also</w:t>
      </w:r>
      <w:r>
        <w:t xml:space="preserve"> </w:t>
      </w:r>
      <w:r>
        <w:t xml:space="preserve">provided. Section ??? discusses how to display math and</w:t>
      </w:r>
      <w:r>
        <w:t xml:space="preserve"> </w:t>
      </w:r>
      <w:r>
        <w:t xml:space="preserve">incorporate equations in a manuscript.</w:t>
      </w:r>
      <w:r>
        <w:t xml:space="preserve"> </w:t>
      </w:r>
      <w:r>
        <w:t xml:space="preserve">The last section, ???, shows how recognize software and external data as first</w:t>
      </w:r>
      <w:r>
        <w:t xml:space="preserve"> </w:t>
      </w:r>
      <w:r>
        <w:t xml:space="preserve">class references in the manuscript bibliography. An appendix is included</w:t>
      </w:r>
      <w:r>
        <w:t xml:space="preserve"> </w:t>
      </w:r>
      <w:r>
        <w:t xml:space="preserve">to show how to construct one and provide some information on how article</w:t>
      </w:r>
      <w:r>
        <w:t xml:space="preserve"> </w:t>
      </w:r>
      <w:r>
        <w:t xml:space="preserve">charges are calculated. Additional information is available both embedded</w:t>
      </w:r>
      <w:r>
        <w:t xml:space="preserve"> </w:t>
      </w:r>
      <w:r>
        <w:t xml:space="preserve">in the comments of this</w:t>
      </w:r>
      <w:r>
        <w:t xml:space="preserve"> </w:t>
      </w:r>
      <w:r>
        <w:t xml:space="preserve">LaTeX</w:t>
      </w:r>
      <w:r>
        <w:t xml:space="preserve"> file and in the online documentation at</w:t>
      </w:r>
      <w:r>
        <w:t xml:space="preserve"> </w:t>
      </w:r>
      <w:hyperlink r:id="rId25">
        <w:r>
          <w:rPr>
            <w:rStyle w:val="Hyperlink"/>
          </w:rPr>
          <w:t xml:space="preserve">http://journals.aas.org/authors/aastex.html</w:t>
        </w:r>
      </w:hyperlink>
      <w:r>
        <w:t xml:space="preserve">.</w:t>
      </w:r>
    </w:p>
    <w:p>
      <w:pPr>
        <w:pStyle w:val="Heading1"/>
      </w:pPr>
      <w:bookmarkStart w:id="26" w:name="manuscript-styles"/>
      <w:bookmarkEnd w:id="26"/>
      <w:r>
        <w:t xml:space="preserve">Manuscript styles</w:t>
      </w:r>
    </w:p>
    <w:p>
      <w:pPr>
        <w:pStyle w:val="FirstParagraph"/>
      </w:pPr>
      <w:r>
        <w:t xml:space="preserve">The default style in</w:t>
      </w:r>
      <w:r>
        <w:t xml:space="preserve"> </w:t>
      </w:r>
      <w:r>
        <w:t xml:space="preserve">AASTeX</w:t>
      </w:r>
      <w:r>
        <w:t xml:space="preserve"> v6.1 is a tight single column style, e.g. 10</w:t>
      </w:r>
      <w:r>
        <w:t xml:space="preserve"> </w:t>
      </w:r>
      <w:r>
        <w:t xml:space="preserve">point font, single spaced. The single column style is very useful for</w:t>
      </w:r>
      <w:r>
        <w:t xml:space="preserve"> </w:t>
      </w:r>
      <w:r>
        <w:t xml:space="preserve">article with wide equations. It is also the easiest to style to work with</w:t>
      </w:r>
      <w:r>
        <w:t xml:space="preserve"> </w:t>
      </w:r>
      <w:r>
        <w:t xml:space="preserve">since figures and tables, see Section ???, will span the</w:t>
      </w:r>
      <w:r>
        <w:t xml:space="preserve"> </w:t>
      </w:r>
      <w:r>
        <w:t xml:space="preserve">entire page, reducing the need for address float sizing.</w:t>
      </w:r>
    </w:p>
    <w:p>
      <w:pPr>
        <w:pStyle w:val="Heading1"/>
      </w:pPr>
      <w:bookmarkStart w:id="27" w:name="floats"/>
      <w:bookmarkEnd w:id="27"/>
      <w:r>
        <w:t xml:space="preserve">Floats</w:t>
      </w:r>
    </w:p>
    <w:p>
      <w:pPr>
        <w:pStyle w:val="FirstParagraph"/>
      </w:pPr>
      <w:r>
        <w:t xml:space="preserve">Floats are non-text items that generally can not be split over a page.</w:t>
      </w:r>
      <w:r>
        <w:t xml:space="preserve"> </w:t>
      </w:r>
      <w:r>
        <w:t xml:space="preserve">They also have captions and can be numbered for reference. Primarily these</w:t>
      </w:r>
      <w:r>
        <w:t xml:space="preserve"> </w:t>
      </w:r>
      <w:r>
        <w:t xml:space="preserve">are figures and tables but authors can define their own.</w:t>
      </w:r>
      <w:r>
        <w:t xml:space="preserve"> </w:t>
      </w:r>
      <w:r>
        <w:t xml:space="preserve">LaTeX</w:t>
      </w:r>
      <w:r>
        <w:t xml:space="preserve"> tries to</w:t>
      </w:r>
      <w:r>
        <w:t xml:space="preserve"> </w:t>
      </w:r>
      <w:r>
        <w:t xml:space="preserve">place a float where indicated in the manuscript but will move it later if</w:t>
      </w:r>
      <w:r>
        <w:t xml:space="preserve"> </w:t>
      </w:r>
      <w:r>
        <w:t xml:space="preserve">there is not enough room at that location, hence the term</w:t>
      </w:r>
      <w:r>
        <w:t xml:space="preserve"> </w:t>
      </w:r>
      <w:r>
        <w:t xml:space="preserve">“</w:t>
      </w:r>
      <w:r>
        <w:t xml:space="preserve">float</w:t>
      </w:r>
      <w:r>
        <w:t xml:space="preserve">”</w:t>
      </w:r>
      <w:r>
        <w:t xml:space="preserve">.</w:t>
      </w:r>
      <w:r>
        <w:t xml:space="preserve"> </w:t>
      </w:r>
      <w:r>
        <w:t xml:space="preserve">Authors are encouraged to embed their tables and figures within the text as</w:t>
      </w:r>
      <w:r>
        <w:t xml:space="preserve"> </w:t>
      </w:r>
      <w:r>
        <w:t xml:space="preserve">they are mentioned. Please do not place the figures and text at the end of</w:t>
      </w:r>
      <w:r>
        <w:t xml:space="preserve"> </w:t>
      </w:r>
      <w:r>
        <w:t xml:space="preserve">the article as was the old practice. Editors and the vast majority of</w:t>
      </w:r>
      <w:r>
        <w:t xml:space="preserve"> </w:t>
      </w:r>
      <w:r>
        <w:t xml:space="preserve">referees find it much easier to read a manuscript with embedded figures and</w:t>
      </w:r>
      <w:r>
        <w:t xml:space="preserve"> </w:t>
      </w:r>
      <w:r>
        <w:t xml:space="preserve">tables.</w:t>
      </w:r>
      <w:r>
        <w:t xml:space="preserve"> </w:t>
      </w:r>
      <w:r>
        <w:t xml:space="preserve">Depending on the number of floats and the particular amount of text and</w:t>
      </w:r>
      <w:r>
        <w:t xml:space="preserve"> </w:t>
      </w:r>
      <w:r>
        <w:t xml:space="preserve">equations present in a manuscript the ultimate location of any specific</w:t>
      </w:r>
      <w:r>
        <w:t xml:space="preserve"> </w:t>
      </w:r>
      <w:r>
        <w:t xml:space="preserve">float can be hard to predict prior to compilation. It is recommended that</w:t>
      </w:r>
      <w:r>
        <w:t xml:space="preserve"> </w:t>
      </w:r>
      <w:r>
        <w:t xml:space="preserve">authors</w:t>
      </w:r>
      <w:r>
        <w:t xml:space="preserve"> </w:t>
      </w:r>
      <w:r>
        <w:rPr>
          <w:b/>
        </w:rPr>
        <w:t xml:space="preserve">not</w:t>
      </w:r>
      <w:r>
        <w:t xml:space="preserve"> </w:t>
      </w:r>
      <w:r>
        <w:t xml:space="preserve">spend significant time trying to get float placement</w:t>
      </w:r>
      <w:r>
        <w:t xml:space="preserve"> </w:t>
      </w:r>
      <w:r>
        <w:t xml:space="preserve">perfect for peer review. The AAS Journal’s publisher has sophisticated</w:t>
      </w:r>
      <w:r>
        <w:t xml:space="preserve"> </w:t>
      </w:r>
      <w:r>
        <w:t xml:space="preserve">typesetting software that will produce the optimal layout during</w:t>
      </w:r>
      <w:r>
        <w:t xml:space="preserve"> </w:t>
      </w:r>
      <w:r>
        <w:t xml:space="preserve">production.</w:t>
      </w:r>
    </w:p>
    <w:p>
      <w:pPr>
        <w:pStyle w:val="BodyText"/>
      </w:pPr>
      <w:r>
        <w:t xml:space="preserve">c|cc</w:t>
      </w:r>
      <w:r>
        <w:t xml:space="preserve"> </w:t>
      </w:r>
      <w:r>
        <w:t xml:space="preserve">1991 &amp; 600 &amp; 100</w:t>
      </w:r>
      <w:r>
        <w:br w:type="textWrapping"/>
      </w:r>
      <w:r>
        <w:t xml:space="preserve">1992 &amp; 650 &amp; 105</w:t>
      </w:r>
      <w:r>
        <w:br w:type="textWrapping"/>
      </w:r>
      <w:r>
        <w:t xml:space="preserve">1993 &amp; 550 &amp; 103</w:t>
      </w:r>
      <w:r>
        <w:br w:type="textWrapping"/>
      </w:r>
      <w:r>
        <w:t xml:space="preserve">1994 &amp; 450 &amp; 110</w:t>
      </w:r>
      <w:r>
        <w:br w:type="textWrapping"/>
      </w:r>
      <w:r>
        <w:t xml:space="preserve">1995 &amp; 410 &amp; 112</w:t>
      </w:r>
      <w:r>
        <w:br w:type="textWrapping"/>
      </w:r>
      <w:r>
        <w:t xml:space="preserve">1996 &amp; 400 &amp; 114</w:t>
      </w:r>
      <w:r>
        <w:br w:type="textWrapping"/>
      </w:r>
      <w:r>
        <w:t xml:space="preserve">1997 &amp; 525 &amp; 115</w:t>
      </w:r>
      <w:r>
        <w:br w:type="textWrapping"/>
      </w:r>
      <w:r>
        <w:t xml:space="preserve">1998 &amp; 590 &amp; 116</w:t>
      </w:r>
      <w:r>
        <w:br w:type="textWrapping"/>
      </w:r>
      <w:r>
        <w:t xml:space="preserve">1999 &amp; 575 &amp; 115</w:t>
      </w:r>
      <w:r>
        <w:br w:type="textWrapping"/>
      </w:r>
      <w:r>
        <w:t xml:space="preserve">2000 &amp; 450 &amp; 103</w:t>
      </w:r>
      <w:r>
        <w:br w:type="textWrapping"/>
      </w:r>
      <w:r>
        <w:t xml:space="preserve">2001 &amp; 490 &amp; 90</w:t>
      </w:r>
      <w:r>
        <w:br w:type="textWrapping"/>
      </w:r>
      <w:r>
        <w:t xml:space="preserve">2002 &amp; 500 &amp; 88</w:t>
      </w:r>
      <w:r>
        <w:br w:type="textWrapping"/>
      </w:r>
      <w:r>
        <w:t xml:space="preserve">2003 &amp; 450 &amp; 90</w:t>
      </w:r>
      <w:r>
        <w:br w:type="textWrapping"/>
      </w:r>
      <w:r>
        <w:t xml:space="preserve">2004 &amp; 460 &amp; 88</w:t>
      </w:r>
      <w:r>
        <w:br w:type="textWrapping"/>
      </w:r>
      <w:r>
        <w:t xml:space="preserve">2005 &amp; 440 &amp; 79</w:t>
      </w:r>
      <w:r>
        <w:br w:type="textWrapping"/>
      </w:r>
      <w:r>
        <w:t xml:space="preserve">2006 &amp; 350 &amp; 77</w:t>
      </w:r>
      <w:r>
        <w:br w:type="textWrapping"/>
      </w:r>
      <w:r>
        <w:t xml:space="preserve">2007 &amp; 325 &amp; 70</w:t>
      </w:r>
      <w:r>
        <w:br w:type="textWrapping"/>
      </w:r>
      <w:r>
        <w:t xml:space="preserve">2008 &amp; 320 &amp; 65</w:t>
      </w:r>
      <w:r>
        <w:br w:type="textWrapping"/>
      </w:r>
      <w:r>
        <w:t xml:space="preserve">2009 &amp; 190 &amp; 68</w:t>
      </w:r>
      <w:r>
        <w:br w:type="textWrapping"/>
      </w:r>
      <w:r>
        <w:t xml:space="preserve">2010 &amp; 280 &amp; 70</w:t>
      </w:r>
      <w:r>
        <w:br w:type="textWrapping"/>
      </w:r>
      <w:r>
        <w:t xml:space="preserve">2011 &amp; 275 &amp; 68</w:t>
      </w:r>
      <w:r>
        <w:br w:type="textWrapping"/>
      </w:r>
      <w:r>
        <w:t xml:space="preserve">2012 &amp; 150 &amp; 56</w:t>
      </w:r>
      <w:r>
        <w:br w:type="textWrapping"/>
      </w:r>
      <w:r>
        <w:t xml:space="preserve">2013 &amp; 140 &amp; 55</w:t>
      </w:r>
      <w:r>
        <w:br w:type="textWrapping"/>
      </w:r>
    </w:p>
    <w:p>
      <w:pPr>
        <w:pStyle w:val="Heading2"/>
      </w:pPr>
      <w:bookmarkStart w:id="28" w:name="tables"/>
      <w:bookmarkEnd w:id="28"/>
      <w:r>
        <w:t xml:space="preserve">Tables</w:t>
      </w:r>
    </w:p>
    <w:p>
      <w:pPr>
        <w:pStyle w:val="FirstParagraph"/>
      </w:pPr>
      <w:r>
        <w:t xml:space="preserve">Tables can be constructed with</w:t>
      </w:r>
      <w:r>
        <w:t xml:space="preserve"> </w:t>
      </w:r>
      <w:r>
        <w:t xml:space="preserve">LaTeX</w:t>
      </w:r>
      <w:r>
        <w:t xml:space="preserve">’s standard table environment or the</w:t>
      </w:r>
      <w:r>
        <w:t xml:space="preserve"> </w:t>
      </w:r>
      <w:r>
        <w:t xml:space="preserve">AASTeX</w:t>
      </w:r>
      <w:r>
        <w:t xml:space="preserve">’s deluxetable environment. The deluxetable construct handles long</w:t>
      </w:r>
      <w:r>
        <w:t xml:space="preserve"> </w:t>
      </w:r>
      <w:r>
        <w:t xml:space="preserve">tables better but has a larger overhead due to the greater amount of</w:t>
      </w:r>
      <w:r>
        <w:t xml:space="preserve"> </w:t>
      </w:r>
      <w:r>
        <w:t xml:space="preserve">defined mark up used set up and manipulate the table structure. The choice</w:t>
      </w:r>
      <w:r>
        <w:t xml:space="preserve"> </w:t>
      </w:r>
      <w:r>
        <w:t xml:space="preserve">of which to use is up to the author. Examples of both environments are</w:t>
      </w:r>
      <w:r>
        <w:t xml:space="preserve"> </w:t>
      </w:r>
      <w:r>
        <w:t xml:space="preserve">used in this manuscript. Table ??? is a simple deluxetable</w:t>
      </w:r>
      <w:r>
        <w:t xml:space="preserve"> </w:t>
      </w:r>
      <w:r>
        <w:t xml:space="preserve">example that gives the approximate changes in the subscription costs and</w:t>
      </w:r>
      <w:r>
        <w:t xml:space="preserve"> </w:t>
      </w:r>
      <w:r>
        <w:t xml:space="preserve">author publication charges from 1991 to 2013.</w:t>
      </w:r>
      <w:r>
        <w:t xml:space="preserve"> </w:t>
      </w:r>
      <w:r>
        <w:t xml:space="preserve">Tables longer than 200 data lines and complex tables should only have a</w:t>
      </w:r>
      <w:r>
        <w:t xml:space="preserve"> </w:t>
      </w:r>
      <w:r>
        <w:t xml:space="preserve">short example table with the full data set available in the machine</w:t>
      </w:r>
      <w:r>
        <w:t xml:space="preserve"> </w:t>
      </w:r>
      <w:r>
        <w:t xml:space="preserve">readable format. The machine readable table will be available in the HTML</w:t>
      </w:r>
      <w:r>
        <w:t xml:space="preserve"> </w:t>
      </w:r>
      <w:r>
        <w:t xml:space="preserve">version of the article with just a short example in the PDF. Authors are</w:t>
      </w:r>
      <w:r>
        <w:t xml:space="preserve"> </w:t>
      </w:r>
      <w:r>
        <w:t xml:space="preserve">required to indicate to the reader where the data can be obtained in the</w:t>
      </w:r>
      <w:r>
        <w:t xml:space="preserve"> </w:t>
      </w:r>
      <w:r>
        <w:t xml:space="preserve">table comments. Suggested text is given in the comments of Table</w:t>
      </w:r>
      <w:r>
        <w:t xml:space="preserve"> </w:t>
      </w:r>
      <w:r>
        <w:t xml:space="preserve">???. Authors are encouraged to create their own machine</w:t>
      </w:r>
      <w:r>
        <w:t xml:space="preserve"> </w:t>
      </w:r>
      <w:r>
        <w:t xml:space="preserve">readable tables using the online tool at</w:t>
      </w:r>
      <w:r>
        <w:t xml:space="preserve"> </w:t>
      </w:r>
      <w:hyperlink r:id="rId29">
        <w:r>
          <w:rPr>
            <w:rStyle w:val="Hyperlink"/>
          </w:rPr>
          <w:t xml:space="preserve">http://authortools.aas.org/MRT/upload.html</w:t>
        </w:r>
      </w:hyperlink>
      <w:r>
        <w:t xml:space="preserve">.</w:t>
      </w:r>
    </w:p>
    <w:p>
      <w:pPr>
        <w:pStyle w:val="BodyText"/>
      </w:pPr>
      <w:r>
        <w:t xml:space="preserve">ccCrlc</w:t>
      </w:r>
      <w:r>
        <w:t xml:space="preserve">[b!]</w:t>
      </w:r>
      <w:r>
        <w:t xml:space="preserve"> </w:t>
      </w:r>
      <w:r>
        <w:t xml:space="preserve">2012-03-26 &amp;amp; 56012.997 &amp;amp;</w:t>
      </w:r>
      <w:r>
        <w:t xml:space="preserve"> </w:t>
      </w:r>
      <w:r>
        <w:t xml:space="preserve">$\sim 0.{$^{\prime\prime}$}5$</w:t>
      </w:r>
      <w:r>
        <w:t xml:space="preserve"> </w:t>
      </w:r>
      <w:r>
        <w:t xml:space="preserve">&amp;amp; H</w:t>
      </w:r>
      <m:oMath>
        <m:r>
          <m:t>α</m:t>
        </m:r>
      </m:oMath>
      <w:r>
        <w:t xml:space="preserve"> </w:t>
      </w:r>
      <w:r>
        <w:t xml:space="preserve">&amp;amp; NOT</w:t>
      </w:r>
      <w:r>
        <w:br w:type="textWrapping"/>
      </w:r>
      <w:r>
        <w:t xml:space="preserve">2012-03-27 &amp;amp; 56013.944 &amp;amp;</w:t>
      </w:r>
      <w:r>
        <w:t xml:space="preserve"> </w:t>
      </w:r>
      <w:r>
        <w:t xml:space="preserve">$1.{$^{\prime\prime}$}5$</w:t>
      </w:r>
      <w:r>
        <w:t xml:space="preserve"> </w:t>
      </w:r>
      <w:r>
        <w:t xml:space="preserve">&amp;amp; grism &amp;amp; SMARTS</w:t>
      </w:r>
      <w:r>
        <w:br w:type="textWrapping"/>
      </w:r>
      <w:r>
        <w:t xml:space="preserve">2012-03-28 &amp;amp; 56014.984 &amp;amp;</w:t>
      </w:r>
      <w:r>
        <w:t xml:space="preserve"> </w:t>
      </w:r>
      <w:r>
        <w:t xml:space="preserve">$\nodata$</w:t>
      </w:r>
      <w:r>
        <w:t xml:space="preserve"> </w:t>
      </w:r>
      <w:r>
        <w:t xml:space="preserve">&amp;amp; F814M &amp;amp; HST</w:t>
      </w:r>
      <w:r>
        <w:br w:type="textWrapping"/>
      </w:r>
      <w:r>
        <w:t xml:space="preserve">2012-03-30 &amp;amp; 56016.978 &amp;amp;</w:t>
      </w:r>
      <w:r>
        <w:t xml:space="preserve"> </w:t>
      </w:r>
      <w:r>
        <w:t xml:space="preserve">$1.{$^{\prime\prime}$}5\pm0.25$</w:t>
      </w:r>
      <w:r>
        <w:t xml:space="preserve"> </w:t>
      </w:r>
      <w:r>
        <w:t xml:space="preserve">&amp;amp; B&amp;amp;C &amp;amp; Bok</w:t>
      </w:r>
      <w:r>
        <w:br w:type="textWrapping"/>
      </w:r>
    </w:p>
    <w:p>
      <w:pPr>
        <w:pStyle w:val="Heading2"/>
      </w:pPr>
      <w:bookmarkStart w:id="30" w:name="general-figures"/>
      <w:bookmarkEnd w:id="30"/>
      <w:r>
        <w:t xml:space="preserve">General figures</w:t>
      </w:r>
    </w:p>
    <w:p>
      <w:pPr>
        <w:pStyle w:val="FirstParagraph"/>
      </w:pPr>
      <w:r>
        <w:t xml:space="preserve">Authors can include a wide number of different graphics with their articles</w:t>
      </w:r>
      <w:r>
        <w:t xml:space="preserve"> </w:t>
      </w:r>
      <w:r>
        <w:t xml:space="preserve">in GIF, PNG, JPG, EPS or portable document format (PDF). These</w:t>
      </w:r>
      <w:r>
        <w:t xml:space="preserve"> </w:t>
      </w:r>
      <w:r>
        <w:t xml:space="preserve">range from general figures all authors are familiar with to new enhanced</w:t>
      </w:r>
      <w:r>
        <w:t xml:space="preserve"> </w:t>
      </w:r>
      <w:r>
        <w:t xml:space="preserve">graphics that can only be fully experienced in HTML. The later include</w:t>
      </w:r>
      <w:r>
        <w:t xml:space="preserve"> </w:t>
      </w:r>
      <w:r>
        <w:t xml:space="preserve">animations, figure sets and interactive figures.</w:t>
      </w:r>
      <w:r>
        <w:t xml:space="preserve"> </w:t>
      </w:r>
      <w:r>
        <w:t xml:space="preserve">Figure ??? is an example</w:t>
      </w:r>
      <w:r>
        <w:t xml:space="preserve"> </w:t>
      </w:r>
      <w:r>
        <w:t xml:space="preserve">which uses the data from Table ???.</w:t>
      </w:r>
      <w:r>
        <w:t xml:space="preserve"> </w:t>
      </w:r>
      <w:r>
        <w:t xml:space="preserve">Figure ??? shows the Swift/XRT X-ray light curves of a recurrent novae.</w:t>
      </w:r>
    </w:p>
    <w:p>
      <w:pPr>
        <w:pStyle w:val="FigureWithCaption"/>
      </w:pPr>
      <w:r>
        <w:drawing>
          <wp:inline>
            <wp:extent cx="5334000" cy="38100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cost/cos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FigureWithCaption"/>
      </w:pPr>
      <w:r>
        <w:drawing>
          <wp:inline>
            <wp:extent cx="5334000" cy="3810000"/>
            <wp:effectExtent b="0" l="0" r="0" t="0"/>
            <wp:docPr descr="The Swift/XRT X-ray light curve for the first year after outburst of the suspected recurrent nova KT Eri. At a maximum count rate of 328 ct/s, KT Eri was the brightest nova in X-rays observed to date. " title="" id="1" name="Picture"/>
            <a:graphic>
              <a:graphicData uri="http://schemas.openxmlformats.org/drawingml/2006/picture">
                <pic:pic>
                  <pic:nvPicPr>
                    <pic:cNvPr descr="figures/KT-Eri/KT-Eri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Swift/XRT X-ray light curve for the first year after</w:t>
      </w:r>
      <w:r>
        <w:t xml:space="preserve"> </w:t>
      </w:r>
      <w:r>
        <w:t xml:space="preserve">outburst of the suspected recurrent nova KT Eri. At a maximum count rate of</w:t>
      </w:r>
      <w:r>
        <w:t xml:space="preserve"> </w:t>
      </w:r>
      <w:r>
        <w:t xml:space="preserve">328 ct/s, KT Eri was the brightest nova in X-rays observed to date.</w:t>
      </w:r>
      <w:r>
        <w:t xml:space="preserve"> </w:t>
      </w:r>
    </w:p>
    <w:p>
      <w:pPr>
        <w:pStyle w:val="BodyText"/>
      </w:pPr>
      <w:r>
        <w:t xml:space="preserve">Authors are encouraged to use an online tool at</w:t>
      </w:r>
      <w:r>
        <w:t xml:space="preserve"> </w:t>
      </w:r>
      <w:hyperlink r:id="rId33">
        <w:r>
          <w:rPr>
            <w:rStyle w:val="Hyperlink"/>
          </w:rPr>
          <w:t xml:space="preserve">http://authortools.aas.org/FIGSETS/make-figset.html</w:t>
        </w:r>
      </w:hyperlink>
      <w:r>
        <w:t xml:space="preserve"> </w:t>
      </w:r>
      <w:r>
        <w:t xml:space="preserve">to generate their</w:t>
      </w:r>
      <w:r>
        <w:t xml:space="preserve"> </w:t>
      </w:r>
      <w:r>
        <w:t xml:space="preserve">own specific figure set mark up to incorporate into their</w:t>
      </w:r>
      <w:r>
        <w:t xml:space="preserve"> </w:t>
      </w:r>
      <w:r>
        <w:t xml:space="preserve">LaTeX</w:t>
      </w:r>
      <w:r>
        <w:t xml:space="preserve"> articles.</w:t>
      </w:r>
    </w:p>
    <w:p>
      <w:pPr>
        <w:pStyle w:val="Heading2"/>
      </w:pPr>
      <w:bookmarkStart w:id="34" w:name="animations"/>
      <w:bookmarkEnd w:id="34"/>
      <w:r>
        <w:t xml:space="preserve">Animations</w:t>
      </w:r>
    </w:p>
    <w:p>
      <w:pPr>
        <w:pStyle w:val="FirstParagraph"/>
      </w:pPr>
      <w:r>
        <w:t xml:space="preserve">Authors may include animations in their articles. A single still frame from</w:t>
      </w:r>
      <w:r>
        <w:t xml:space="preserve"> </w:t>
      </w:r>
      <w:r>
        <w:t xml:space="preserve">the animation should be included as a regular figure to serve as an example.</w:t>
      </w:r>
      <w:r>
        <w:t xml:space="preserve"> </w:t>
      </w:r>
      <w:r>
        <w:t xml:space="preserve">The associated figure caption should indicate to the reader exactly what the</w:t>
      </w:r>
      <w:r>
        <w:t xml:space="preserve"> </w:t>
      </w:r>
      <w:r>
        <w:t xml:space="preserve">animation shows and that the animation is available online.</w:t>
      </w:r>
    </w:p>
    <w:p>
      <w:pPr>
        <w:pStyle w:val="FigureWithCaption"/>
      </w:pPr>
      <w:r>
        <w:drawing>
          <wp:inline>
            <wp:extent cx="5334000" cy="6902823"/>
            <wp:effectExtent b="0" l="0" r="0" t="0"/>
            <wp:docPr descr="Example image from the animation which is available in the electronic edition." title="" id="1" name="Picture"/>
            <a:graphic>
              <a:graphicData uri="http://schemas.openxmlformats.org/drawingml/2006/picture">
                <pic:pic>
                  <pic:nvPicPr>
                    <pic:cNvPr descr="figures/video3/video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028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Example image from the animation which is available in the electronic</w:t>
      </w:r>
      <w:r>
        <w:t xml:space="preserve"> </w:t>
      </w:r>
      <w:r>
        <w:t xml:space="preserve">edition.</w:t>
      </w:r>
    </w:p>
    <w:p>
      <w:pPr>
        <w:pStyle w:val="Heading2"/>
      </w:pPr>
      <w:bookmarkStart w:id="36" w:name="interactive-figures"/>
      <w:bookmarkEnd w:id="36"/>
      <w:r>
        <w:t xml:space="preserve">Interactive figures</w:t>
      </w:r>
    </w:p>
    <w:p>
      <w:pPr>
        <w:pStyle w:val="FirstParagraph"/>
      </w:pPr>
      <w:r>
        <w:t xml:space="preserve">Interactive figures give the reader the ability to manipulate the</w:t>
      </w:r>
      <w:r>
        <w:t xml:space="preserve"> </w:t>
      </w:r>
      <w:r>
        <w:t xml:space="preserve">information contained in an image which can add clarity or help further the</w:t>
      </w:r>
      <w:r>
        <w:t xml:space="preserve"> </w:t>
      </w:r>
      <w:r>
        <w:t xml:space="preserve">author’s narrative. These figures consist of two parts, the figure file in</w:t>
      </w:r>
      <w:r>
        <w:t xml:space="preserve"> </w:t>
      </w:r>
      <w:r>
        <w:t xml:space="preserve">a specific format and a javascript and html frame work that provides the</w:t>
      </w:r>
      <w:r>
        <w:t xml:space="preserve"> </w:t>
      </w:r>
      <w:r>
        <w:t xml:space="preserve">interactive control. An example of an interactive figure is a 3D model.</w:t>
      </w:r>
      <w:r>
        <w:t xml:space="preserve"> </w:t>
      </w:r>
      <w:r>
        <w:t xml:space="preserve">The underlying figure is a X3D file while x3dom.js is the javascript driver</w:t>
      </w:r>
      <w:r>
        <w:t xml:space="preserve"> </w:t>
      </w:r>
      <w:r>
        <w:t xml:space="preserve">that displays it. An author created interface is added via a html wrapper.</w:t>
      </w:r>
      <w:r>
        <w:t xml:space="preserve"> </w:t>
      </w:r>
      <w:r>
        <w:t xml:space="preserve">The first 3D model published by the AAS Journals using this technique was</w:t>
      </w:r>
      <w:r>
        <w:t xml:space="preserve"> </w:t>
      </w:r>
      <w:r>
        <w:t xml:space="preserve">(</w:t>
      </w:r>
      <w:r>
        <w:t xml:space="preserve">“</w:t>
      </w:r>
      <w:r>
        <w:t xml:space="preserve">Apj, 793, 127</w:t>
      </w:r>
      <w:r>
        <w:t xml:space="preserve">”</w:t>
      </w:r>
      <w:r>
        <w:t xml:space="preserve"> </w:t>
      </w:r>
      <w:r>
        <w:t xml:space="preserve">2014). Authors should consult the online tutorials</w:t>
      </w:r>
      <w:r>
        <w:t xml:space="preserve"> </w:t>
      </w:r>
      <w:r>
        <w:t xml:space="preserve">for more information on how to construct their own interactive figures.</w:t>
      </w:r>
    </w:p>
    <w:p>
      <w:pPr>
        <w:pStyle w:val="BodyText"/>
      </w:pPr>
      <w:r>
        <w:t xml:space="preserve">As with animations authors should include a non-interactive regular figure</w:t>
      </w:r>
      <w:r>
        <w:t xml:space="preserve"> </w:t>
      </w:r>
      <w:r>
        <w:t xml:space="preserve">to use as an example. The example figure should also indicate to the reader</w:t>
      </w:r>
      <w:r>
        <w:t xml:space="preserve"> </w:t>
      </w:r>
      <w:r>
        <w:t xml:space="preserve">that the enhanced figure is interactive and can be accessed online.</w:t>
      </w:r>
    </w:p>
    <w:p>
      <w:pPr>
        <w:pStyle w:val="Heading1"/>
      </w:pPr>
      <w:bookmarkStart w:id="37" w:name="displaying-mathematics"/>
      <w:bookmarkEnd w:id="37"/>
      <w:r>
        <w:t xml:space="preserve">Displaying mathematics</w:t>
      </w:r>
    </w:p>
    <w:p>
      <w:pPr>
        <w:pStyle w:val="FirstParagraph"/>
      </w:pPr>
      <w:r>
        <w:t xml:space="preserve">Mathematics can be displayed either within the text, e.g.</w:t>
      </w:r>
      <w:r>
        <w:t xml:space="preserve"> </w:t>
      </w:r>
      <m:oMath>
        <m:r>
          <m:t>E</m:t>
        </m:r>
        <m:r>
          <m:t>=</m:t>
        </m:r>
        <m:r>
          <m:t>m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or</w:t>
      </w:r>
      <w:r>
        <w:t xml:space="preserve"> </w:t>
      </w:r>
      <w:r>
        <w:t xml:space="preserve">separate from in an equation. In order to be properly rendered, all inline</w:t>
      </w:r>
      <w:r>
        <w:t xml:space="preserve"> </w:t>
      </w:r>
      <w:r>
        <w:t xml:space="preserve">math text has to be declared by surrounding the math by dollar signs ($).</w:t>
      </w:r>
      <w:r>
        <w:t xml:space="preserve"> </w:t>
      </w:r>
      <w:r>
        <w:t xml:space="preserve">A complex equation example with inline math as part of the explanation</w:t>
      </w:r>
      <w:r>
        <w:t xml:space="preserve"> </w:t>
      </w:r>
      <w:r>
        <w:t xml:space="preserve">follows.</w:t>
      </w:r>
    </w:p>
    <w:p>
      <w:pPr>
        <w:pStyle w:val="BodyText"/>
      </w:pPr>
      <m:oMathPara>
        <m:oMathParaPr>
          <m:jc m:val="center"/>
        </m:oMathParaPr>
        <m:oMath>
          <m:bar>
            <m:barPr>
              <m:pos m:val="top"/>
            </m:barPr>
            <m:e>
              <m:r>
                <m:t>v</m:t>
              </m:r>
            </m:e>
          </m:bar>
          <m:r>
            <m:t>(</m:t>
          </m:r>
          <m:sSub>
            <m:e>
              <m:r>
                <m:t>p</m:t>
              </m:r>
            </m:e>
            <m:sub>
              <m:r>
                <m:t>2</m:t>
              </m:r>
            </m:sub>
          </m:sSub>
          <m:r>
            <m:t>,</m:t>
          </m:r>
          <m:sSub>
            <m:e>
              <m:r>
                <m:t>σ</m:t>
              </m:r>
            </m:e>
            <m:sub>
              <m:r>
                <m:t>2</m:t>
              </m:r>
            </m:sub>
          </m:sSub>
          <m:r>
            <m:t>)</m:t>
          </m:r>
          <m:sSub>
            <m:e>
              <m:r>
                <m:t>P</m:t>
              </m:r>
            </m:e>
            <m:sub>
              <m:r>
                <m:t>−</m:t>
              </m:r>
              <m:r>
                <m:t>τ</m:t>
              </m:r>
            </m:sub>
          </m:sSub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a</m:t>
                  </m:r>
                </m:e>
              </m:groupChr>
            </m:e>
            <m:sub>
              <m:r>
                <m:t>1</m:t>
              </m:r>
            </m:sub>
          </m:sSub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a</m:t>
                  </m:r>
                </m:e>
              </m:groupChr>
            </m:e>
            <m:sub>
              <m:r>
                <m:t>2</m:t>
              </m:r>
            </m:sub>
          </m:sSub>
          <m:r>
            <m:t>⋯</m:t>
          </m:r>
          <m:sSub>
            <m:e>
              <m:groupChr>
                <m:groupChrPr>
                  <m:chr m:val="^"/>
                  <m:pos m:val="top"/>
                  <m:vertJc m:val="bot"/>
                </m:groupChrPr>
                <m:e>
                  <m:r>
                    <m:t>a</m:t>
                  </m:r>
                </m:e>
              </m:groupChr>
            </m:e>
            <m:sub>
              <m:r>
                <m:t>n</m:t>
              </m:r>
            </m:sub>
          </m:sSub>
          <m:r>
            <m:t>u</m:t>
          </m:r>
          <m:r>
            <m:t>(</m:t>
          </m:r>
          <m:sSub>
            <m:e>
              <m:r>
                <m:t>p</m:t>
              </m:r>
            </m:e>
            <m:sub>
              <m:r>
                <m:t>1</m:t>
              </m:r>
            </m:sub>
          </m:sSub>
          <m:r>
            <m:t>,</m:t>
          </m:r>
          <m:sSub>
            <m:e>
              <m:r>
                <m:t>σ</m:t>
              </m:r>
            </m:e>
            <m:sub>
              <m:r>
                <m:t>1</m:t>
              </m:r>
            </m:sub>
          </m:sSub>
          <m:r>
            <m:t>)</m:t>
          </m:r>
          <m:r>
            <m:t>,</m:t>
          </m:r>
        </m:oMath>
      </m:oMathPara>
    </w:p>
    <w:p>
      <w:pPr>
        <w:pStyle w:val="FirstParagraph"/>
      </w:pPr>
      <w:r>
        <w:t xml:space="preserve">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σ</m:t>
        </m:r>
      </m:oMath>
      <w:r>
        <w:t xml:space="preserve"> </w:t>
      </w:r>
      <w:r>
        <w:t xml:space="preserve">label the initial</w:t>
      </w:r>
      <w:r>
        <w:t xml:space="preserve"> </w:t>
      </w:r>
      <m:oMath>
        <m:sSup>
          <m:e>
            <m:r>
              <m:t>e</m:t>
            </m:r>
          </m:e>
          <m:sup>
            <m:r>
              <m:t>±</m:t>
            </m:r>
          </m:sup>
        </m:sSup>
      </m:oMath>
      <w:r>
        <w:t xml:space="preserve"> </w:t>
      </w:r>
      <w:r>
        <w:t xml:space="preserve">four-momenta</w:t>
      </w:r>
      <w:r>
        <w:t xml:space="preserve"> </w:t>
      </w:r>
      <w:r>
        <w:t xml:space="preserve">and helicities</w:t>
      </w:r>
      <w:r>
        <w:t xml:space="preserve"> </w:t>
      </w:r>
      <m:oMath>
        <m:r>
          <m:t>(</m:t>
        </m:r>
        <m:r>
          <m:t>σ</m:t>
        </m:r>
        <m:r>
          <m:t>=</m:t>
        </m:r>
        <m:r>
          <m:t>±</m:t>
        </m:r>
        <m:r>
          <m:t>1</m:t>
        </m:r>
        <m:r>
          <m:t>)</m:t>
        </m:r>
      </m:oMath>
      <w:r>
        <w:t xml:space="preserve">,</w:t>
      </w:r>
      <w:r>
        <w:t xml:space="preserve"> </w:t>
      </w:r>
      <m:oMath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a</m:t>
                </m:r>
              </m:e>
            </m:groupChr>
          </m:e>
          <m:sub>
            <m:r>
              <m:t>i</m:t>
            </m:r>
          </m:sub>
        </m:sSub>
        <m:r>
          <m:t>=</m:t>
        </m:r>
        <m:sSubSup>
          <m:e>
            <m:r>
              <m:t>a</m:t>
            </m:r>
          </m:e>
          <m:sub>
            <m:r>
              <m:t>i</m:t>
            </m:r>
          </m:sub>
          <m:sup>
            <m:r>
              <m:t>μ</m:t>
            </m:r>
          </m:sup>
        </m:sSubSup>
        <m:sSub>
          <m:e>
            <m:r>
              <m:t>γ</m:t>
            </m:r>
          </m:e>
          <m:sub>
            <m:r>
              <m:t>ν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P</m:t>
            </m:r>
          </m:e>
          <m:sub>
            <m:r>
              <m:t>τ</m:t>
            </m:r>
          </m:sub>
        </m:sSub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1</m:t>
        </m:r>
        <m:r>
          <m:t>+</m:t>
        </m:r>
        <m:r>
          <m:t>τ</m:t>
        </m:r>
        <m:sSub>
          <m:e>
            <m:r>
              <m:t>γ</m:t>
            </m:r>
          </m:e>
          <m:sub>
            <m:r>
              <m:t>5</m:t>
            </m:r>
          </m:sub>
        </m:sSub>
        <m:r>
          <m:t>)</m:t>
        </m:r>
      </m:oMath>
      <w:r>
        <w:t xml:space="preserve"> </w:t>
      </w:r>
      <w:r>
        <w:t xml:space="preserve">is a chirality projection</w:t>
      </w:r>
      <w:r>
        <w:t xml:space="preserve"> </w:t>
      </w:r>
      <w:r>
        <w:t xml:space="preserve">operator</w:t>
      </w:r>
      <w:r>
        <w:t xml:space="preserve"> </w:t>
      </w:r>
      <m:oMath>
        <m:r>
          <m:t>(</m:t>
        </m:r>
        <m:r>
          <m:t>τ</m:t>
        </m:r>
        <m:r>
          <m:t>=</m:t>
        </m:r>
        <m:r>
          <m:t>±</m:t>
        </m:r>
        <m:r>
          <m:t>1</m:t>
        </m:r>
        <m:r>
          <m:t>)</m:t>
        </m:r>
      </m:oMath>
      <w:r>
        <w:t xml:space="preserve">. This produces a single line formula.</w:t>
      </w:r>
      <w:r>
        <w:t xml:space="preserve"> </w:t>
      </w:r>
      <w:r>
        <w:t xml:space="preserve">LaTeX</w:t>
      </w:r>
      <w:r>
        <w:t xml:space="preserve"> will</w:t>
      </w:r>
      <w:r>
        <w:t xml:space="preserve"> </w:t>
      </w:r>
      <w:r>
        <w:t xml:space="preserve">auto-number this and any subsequent equations. If no number is desired then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equation</w:t>
      </w:r>
      <w:r>
        <w:t xml:space="preserve"> </w:t>
      </w:r>
      <w:r>
        <w:t xml:space="preserve">call should be replaced with</w:t>
      </w:r>
      <w:r>
        <w:t xml:space="preserve"> </w:t>
      </w:r>
      <w:r>
        <w:rPr>
          <w:rStyle w:val="VerbatimChar"/>
        </w:rPr>
        <w:t xml:space="preserve">displaymath</w:t>
      </w:r>
      <w:r>
        <w:t xml:space="preserve"> </w:t>
      </w:r>
      <w:r>
        <w:t xml:space="preserve">.</w:t>
      </w:r>
    </w:p>
    <w:p>
      <w:pPr>
        <w:pStyle w:val="Heading1"/>
      </w:pPr>
      <w:bookmarkStart w:id="38" w:name="software-and-third-party-data-repository-citations"/>
      <w:bookmarkEnd w:id="38"/>
      <w:r>
        <w:t xml:space="preserve">Software and third party data repository citations</w:t>
      </w:r>
    </w:p>
    <w:p>
      <w:pPr>
        <w:pStyle w:val="FirstParagraph"/>
      </w:pPr>
      <w:r>
        <w:t xml:space="preserve">The AAS Journals would like to encourage authors to change software and</w:t>
      </w:r>
      <w:r>
        <w:t xml:space="preserve"> </w:t>
      </w:r>
      <w:r>
        <w:t xml:space="preserve">third party data repository references from the current standard of a</w:t>
      </w:r>
      <w:r>
        <w:t xml:space="preserve"> </w:t>
      </w:r>
      <w:r>
        <w:t xml:space="preserve">footnote to a first class citation in the bibliography. As a bibliographic</w:t>
      </w:r>
      <w:r>
        <w:t xml:space="preserve"> </w:t>
      </w:r>
      <w:r>
        <w:t xml:space="preserve">citation these important references will be more easily captured and credit</w:t>
      </w:r>
      <w:r>
        <w:t xml:space="preserve"> </w:t>
      </w:r>
      <w:r>
        <w:t xml:space="preserve">will be given to the appropriate people.</w:t>
      </w:r>
    </w:p>
    <w:p>
      <w:pPr>
        <w:pStyle w:val="BodyText"/>
      </w:pPr>
      <w:r>
        <w:t xml:space="preserve">The first step to making this happen is to have the data or software in</w:t>
      </w:r>
      <w:r>
        <w:t xml:space="preserve"> </w:t>
      </w:r>
      <w:r>
        <w:t xml:space="preserve">a long term repository that has made these items available via a persistent</w:t>
      </w:r>
      <w:r>
        <w:t xml:space="preserve"> </w:t>
      </w:r>
      <w:r>
        <w:t xml:space="preserve">identifier like a Digital Object Identifier (DOI). A list of repositories</w:t>
      </w:r>
      <w:r>
        <w:t xml:space="preserve"> </w:t>
      </w:r>
      <w:r>
        <w:t xml:space="preserve">that satisfy this criteria plus each one’s pros and cons are given at</w:t>
      </w:r>
      <w:r>
        <w:t xml:space="preserve"> </w:t>
      </w:r>
      <w:hyperlink r:id="rId39">
        <w:r>
          <w:rPr>
            <w:rStyle w:val="Hyperlink"/>
          </w:rPr>
          <w:t xml:space="preserve">https://github.com/AASJournals/Tutorials/tree/master/Repositories</w:t>
        </w:r>
      </w:hyperlink>
      <w:r>
        <w:t xml:space="preserve">.</w:t>
      </w:r>
    </w:p>
    <w:p>
      <w:pPr>
        <w:pStyle w:val="Heading1"/>
      </w:pPr>
      <w:bookmarkStart w:id="40" w:name="appendix-information"/>
      <w:bookmarkEnd w:id="40"/>
      <w:r>
        <w:t xml:space="preserve">Appendix information</w:t>
      </w:r>
    </w:p>
    <w:p>
      <w:pPr>
        <w:pStyle w:val="FirstParagraph"/>
      </w:pPr>
      <w:r>
        <w:t xml:space="preserve">Appendices can be broken into separate sections just like in the main text.</w:t>
      </w:r>
      <w:r>
        <w:t xml:space="preserve"> </w:t>
      </w:r>
      <w:r>
        <w:t xml:space="preserve">The only difference is that each appendix section is indexed by a letter</w:t>
      </w:r>
      <w:r>
        <w:t xml:space="preserve"> </w:t>
      </w:r>
      <w:r>
        <w:t xml:space="preserve">(A, B, C, etc.) instead of a number. Likewise numbered equations have</w:t>
      </w:r>
      <w:r>
        <w:t xml:space="preserve"> </w:t>
      </w:r>
      <w:r>
        <w:t xml:space="preserve">the section letter appended. Here is an equation as an example.</w:t>
      </w:r>
    </w:p>
    <w:p>
      <w:pPr>
        <w:pStyle w:val="BodyText"/>
      </w:pPr>
      <m:oMathPara>
        <m:oMathParaPr>
          <m:jc m:val="center"/>
        </m:oMathParaPr>
        <m:oMath>
          <m:r>
            <m:t>I</m:t>
          </m:r>
          <m: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1</m:t>
              </m:r>
              <m:r>
                <m:t>+</m:t>
              </m:r>
              <m:sSubSup>
                <m:e>
                  <m:r>
                    <m:t>d</m:t>
                  </m:r>
                </m:e>
                <m:sub>
                  <m:r>
                    <m:t>1</m:t>
                  </m:r>
                </m:sub>
                <m:sup>
                  <m:r>
                    <m:t>P</m:t>
                  </m:r>
                  <m:r>
                    <m:t>(</m:t>
                  </m:r>
                  <m:r>
                    <m:t>1</m:t>
                  </m:r>
                  <m:r>
                    <m:t>+</m:t>
                  </m:r>
                  <m:sSub>
                    <m:e>
                      <m:r>
                        <m:t>d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)</m:t>
                  </m:r>
                </m:sup>
              </m:sSubSup>
            </m:den>
          </m:f>
        </m:oMath>
      </m:oMathPara>
    </w:p>
    <w:p>
      <w:pPr>
        <w:pStyle w:val="FirstParagraph"/>
      </w:pPr>
      <w:r>
        <w:t xml:space="preserve">Appendix tables and figures should not be numbered like equations. Instead</w:t>
      </w:r>
      <w:r>
        <w:t xml:space="preserve"> </w:t>
      </w:r>
      <w:r>
        <w:t xml:space="preserve">they should continue the sequence from the main article body.</w:t>
      </w:r>
    </w:p>
    <w:p>
      <w:pPr>
        <w:pStyle w:val="Heading1"/>
      </w:pPr>
      <w:bookmarkStart w:id="41" w:name="author-publication-charges"/>
      <w:bookmarkEnd w:id="41"/>
      <w:r>
        <w:t xml:space="preserve">Author publication charges</w:t>
      </w:r>
    </w:p>
    <w:p>
      <w:pPr>
        <w:pStyle w:val="FirstParagraph"/>
      </w:pPr>
      <w:r>
        <w:t xml:space="preserve">Finally some information about the AAS Journal’s publication charges.</w:t>
      </w:r>
      <w:r>
        <w:t xml:space="preserve"> </w:t>
      </w:r>
      <w:r>
        <w:t xml:space="preserve">In April 2011 the traditional way of calculating author charges based on</w:t>
      </w:r>
      <w:r>
        <w:t xml:space="preserve"> </w:t>
      </w:r>
      <w:r>
        <w:t xml:space="preserve">the number of printed pages was changed. The reason for the change</w:t>
      </w:r>
      <w:r>
        <w:t xml:space="preserve"> </w:t>
      </w:r>
      <w:r>
        <w:t xml:space="preserve">was due to a recognition of the growing number of article items that could not</w:t>
      </w:r>
      <w:r>
        <w:t xml:space="preserve"> </w:t>
      </w:r>
      <w:r>
        <w:t xml:space="preserve">be represented in print. Now author charges are determined by a number of</w:t>
      </w:r>
      <w:r>
        <w:t xml:space="preserve"> </w:t>
      </w:r>
      <w:r>
        <w:t xml:space="preserve">digital</w:t>
      </w:r>
      <w:r>
        <w:t xml:space="preserve"> </w:t>
      </w:r>
      <w:r>
        <w:t xml:space="preserve">“</w:t>
      </w:r>
      <w:r>
        <w:t xml:space="preserve">quanta</w:t>
      </w:r>
      <w:r>
        <w:t xml:space="preserve">”</w:t>
      </w:r>
      <w:r>
        <w:t xml:space="preserve">. A single quantum is 350 words, one figure, one table,</w:t>
      </w:r>
      <w:r>
        <w:t xml:space="preserve"> </w:t>
      </w:r>
      <w:r>
        <w:t xml:space="preserve">and one enhanced digital item. For the latter this includes machine readable</w:t>
      </w:r>
      <w:r>
        <w:t xml:space="preserve"> </w:t>
      </w:r>
      <w:r>
        <w:t xml:space="preserve">tables, figure sets, animations, and interactive figures. The current cost</w:t>
      </w:r>
      <w:r>
        <w:t xml:space="preserve"> </w:t>
      </w:r>
      <w:r>
        <w:t xml:space="preserve">is $27 per word quantum and $30 for all other quantum type.</w:t>
      </w:r>
    </w:p>
    <w:p>
      <w:pPr>
        <w:pStyle w:val="Heading1"/>
      </w:pPr>
      <w:bookmarkStart w:id="42" w:name="rotating-tables"/>
      <w:bookmarkEnd w:id="42"/>
      <w:r>
        <w:t xml:space="preserve">Rotating tables</w:t>
      </w:r>
    </w:p>
    <w:p>
      <w:pPr>
        <w:pStyle w:val="FirstParagraph"/>
      </w:pPr>
      <w:r>
        <w:t xml:space="preserve">The process of rotating tables into landscape mode is slightly different in</w:t>
      </w:r>
      <w:r>
        <w:t xml:space="preserve"> </w:t>
      </w:r>
      <w:r>
        <w:t xml:space="preserve">AASTeX</w:t>
      </w:r>
      <w:r>
        <w:t xml:space="preserve">v6.1. Instead of the</w:t>
      </w:r>
      <w:r>
        <w:t xml:space="preserve"> </w:t>
      </w:r>
      <w:r>
        <w:rPr>
          <w:rStyle w:val="VerbatimChar"/>
        </w:rPr>
        <w:t xml:space="preserve">rotate</w:t>
      </w:r>
      <w:r>
        <w:t xml:space="preserve"> </w:t>
      </w:r>
      <w:r>
        <w:t xml:space="preserve">command, a new environment</w:t>
      </w:r>
      <w:r>
        <w:t xml:space="preserve"> </w:t>
      </w:r>
      <w:r>
        <w:t xml:space="preserve">has been created to handle this task. To place a single page table in a</w:t>
      </w:r>
      <w:r>
        <w:t xml:space="preserve"> </w:t>
      </w:r>
      <w:r>
        <w:t xml:space="preserve">landscape mode start the table portion with</w:t>
      </w:r>
      <w:r>
        <w:t xml:space="preserve"> </w:t>
      </w:r>
      <w:r>
        <w:rPr>
          <w:rStyle w:val="VerbatimChar"/>
        </w:rPr>
        <w:t xml:space="preserve">\begin\{rotatetable\}</w:t>
      </w:r>
      <w:r>
        <w:t xml:space="preserve"> </w:t>
      </w:r>
      <w:r>
        <w:t xml:space="preserve">and end with</w:t>
      </w:r>
      <w:r>
        <w:t xml:space="preserve"> </w:t>
      </w:r>
      <w:r>
        <w:rPr>
          <w:rStyle w:val="VerbatimChar"/>
        </w:rPr>
        <w:t xml:space="preserve">\end\{rotatetable\}</w:t>
      </w:r>
      <w:r>
        <w:t xml:space="preserve"> </w:t>
      </w:r>
      <w:r>
        <w:t xml:space="preserve">.</w:t>
      </w:r>
      <w:r>
        <w:t xml:space="preserve"> </w:t>
      </w:r>
      <w:r>
        <w:t xml:space="preserve">Tables that exceed a print page take a slightly different environment since</w:t>
      </w:r>
      <w:r>
        <w:t xml:space="preserve"> </w:t>
      </w:r>
      <w:r>
        <w:t xml:space="preserve">both rotation and long table printing are required. In these cases start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\begin\{longrotatetable}</w:t>
      </w:r>
      <w:r>
        <w:t xml:space="preserve"> </w:t>
      </w:r>
      <w:r>
        <w:t xml:space="preserve">and end with</w:t>
      </w:r>
      <w:r>
        <w:t xml:space="preserve"> </w:t>
      </w:r>
      <w:r>
        <w:rPr>
          <w:rStyle w:val="VerbatimChar"/>
        </w:rPr>
        <w:t xml:space="preserve">\end\{longrotatetable}</w:t>
      </w:r>
      <w:r>
        <w:t xml:space="preserve"> </w:t>
      </w:r>
      <w:r>
        <w:t xml:space="preserve">. Table ??? is an</w:t>
      </w:r>
      <w:r>
        <w:t xml:space="preserve"> </w:t>
      </w:r>
      <w:r>
        <w:t xml:space="preserve">example of a multi-page, rotated table.</w:t>
      </w:r>
      <w:r>
        <w:t xml:space="preserve"> </w:t>
      </w:r>
      <w:r>
        <w:rPr>
          <w:b/>
        </w:rPr>
        <w:t xml:space="preserve">While in the Authorea article view it looks like a normal table, it renders in lanscape mode when exported to PDF.</w:t>
      </w:r>
    </w:p>
    <w:p>
      <w:pPr>
        <w:pStyle w:val="BodyText"/>
      </w:pPr>
      <w:r>
        <w:t xml:space="preserve">lllrrrrrrll</w:t>
      </w:r>
      <w:r>
        <w:t xml:space="preserve"> </w:t>
      </w:r>
      <w:r>
        <w:t xml:space="preserve">CI Aql &amp; 8.83 (1) &amp; 2451665.5 (1) &amp; 32 (2) &amp; 2300 (3) &amp; 0.8</w:t>
      </w:r>
      <m:oMath>
        <m:r>
          <m:t>±</m:t>
        </m:r>
        <m:r>
          <m:t>0.2</m:t>
        </m:r>
      </m:oMath>
      <w:r>
        <w:t xml:space="preserve"> </w:t>
      </w:r>
      <w:r>
        <w:t xml:space="preserve">(4) &amp; 1.2e+22 &amp; 0.62 (4) &amp; 6.25</w:t>
      </w:r>
      <m:oMath>
        <m:r>
          <m:t>±</m:t>
        </m:r>
        <m:r>
          <m:t>5</m:t>
        </m:r>
      </m:oMath>
      <w:r>
        <w:t xml:space="preserve"> </w:t>
      </w:r>
      <w:r>
        <w:t xml:space="preserve">(4) &amp; N &amp; Y</w:t>
      </w:r>
      <w:r>
        <w:br w:type="textWrapping"/>
      </w:r>
      <w:r>
        <w:rPr>
          <w:b/>
        </w:rPr>
        <w:t xml:space="preserve">CSS081007</w:t>
      </w:r>
      <w:r>
        <w:t xml:space="preserve"> </w:t>
      </w:r>
      <w:r>
        <w:t xml:space="preserve">&amp; &amp; 2454596.5 &amp; &amp; &amp; 0.146 &amp; 1.1e+21 &amp; 1.77 (5) &amp; 4.45</w:t>
      </w:r>
      <m:oMath>
        <m:r>
          <m:t>±</m:t>
        </m:r>
        <m:r>
          <m:t>1.95</m:t>
        </m:r>
      </m:oMath>
      <w:r>
        <w:t xml:space="preserve"> </w:t>
      </w:r>
      <w:r>
        <w:t xml:space="preserve">(6) &amp; &amp;</w:t>
      </w:r>
      <w:r>
        <w:br w:type="textWrapping"/>
      </w:r>
      <w:r>
        <w:t xml:space="preserve">GQ Mus &amp; 7.2 (7) &amp; 2445352.5 (7) &amp; 18 (7) &amp; 1000 (8) &amp; 0.45 (9) &amp; 3.8e+21 &amp; 0.059375 (10) &amp; 4.8</w:t>
      </w:r>
      <m:oMath>
        <m:r>
          <m:t>±</m:t>
        </m:r>
        <m:r>
          <m:t>1</m:t>
        </m:r>
      </m:oMath>
      <w:r>
        <w:t xml:space="preserve"> </w:t>
      </w:r>
      <w:r>
        <w:t xml:space="preserve">(9) &amp; N (7) &amp;</w:t>
      </w:r>
      <w:r>
        <w:br w:type="textWrapping"/>
      </w:r>
      <w:r>
        <w:t xml:space="preserve">IM Nor &amp; 7.84 (11) &amp; 2452289 (2) &amp; 50 (2) &amp; 1150 (12) &amp; 0.8</w:t>
      </w:r>
      <m:oMath>
        <m:r>
          <m:t>±</m:t>
        </m:r>
        <m:r>
          <m:t>0.2</m:t>
        </m:r>
      </m:oMath>
      <w:r>
        <w:t xml:space="preserve"> </w:t>
      </w:r>
      <w:r>
        <w:t xml:space="preserve">(4) &amp; 8e+21 &amp; 0.102 (13) &amp; 4.25</w:t>
      </w:r>
      <m:oMath>
        <m:r>
          <m:t>±</m:t>
        </m:r>
        <m:r>
          <m:t>3.4</m:t>
        </m:r>
      </m:oMath>
      <w:r>
        <w:t xml:space="preserve"> </w:t>
      </w:r>
      <w:r>
        <w:t xml:space="preserve">(4) &amp; N &amp; Y</w:t>
      </w:r>
      <w:r>
        <w:br w:type="textWrapping"/>
      </w:r>
      <w:r>
        <w:rPr>
          <w:b/>
        </w:rPr>
        <w:t xml:space="preserve">KT Eri</w:t>
      </w:r>
      <w:r>
        <w:t xml:space="preserve"> </w:t>
      </w:r>
      <w:r>
        <w:t xml:space="preserve">&amp; 5.42 (14) &amp; 2455150.17 (14) &amp; 6.6 (14) &amp; 3000 (15) &amp; 0.08 (15) &amp; 5.5e+20 &amp; &amp; 6.5 (15) &amp; N &amp; M</w:t>
      </w:r>
      <w:r>
        <w:br w:type="textWrapping"/>
      </w:r>
      <w:r>
        <w:rPr>
          <w:b/>
        </w:rPr>
        <w:t xml:space="preserve">LMC 1995</w:t>
      </w:r>
      <w:r>
        <w:t xml:space="preserve"> </w:t>
      </w:r>
      <w:r>
        <w:t xml:space="preserve">&amp; 10.7 (16) &amp; 2449778.5 (16) &amp; 15</w:t>
      </w:r>
      <m:oMath>
        <m:r>
          <m:t>±</m:t>
        </m:r>
        <m:r>
          <m:t>2</m:t>
        </m:r>
      </m:oMath>
      <w:r>
        <w:t xml:space="preserve"> </w:t>
      </w:r>
      <w:r>
        <w:t xml:space="preserve">(17) &amp; &amp; 0.15 (203) &amp; 7.8e+20 &amp; &amp; 50 &amp; &amp;</w:t>
      </w:r>
      <w:r>
        <w:br w:type="textWrapping"/>
      </w:r>
      <w:r>
        <w:t xml:space="preserve">LMC 2000 &amp; 11.45 (18) &amp; 2451737.5 (18) &amp; 9</w:t>
      </w:r>
      <m:oMath>
        <m:r>
          <m:t>±</m:t>
        </m:r>
        <m:r>
          <m:t>2</m:t>
        </m:r>
      </m:oMath>
      <w:r>
        <w:t xml:space="preserve"> </w:t>
      </w:r>
      <w:r>
        <w:t xml:space="preserve">(19) &amp; 1700 (20) &amp; 0.15 (203) &amp; 7.8e+20 &amp; &amp; 50 &amp; &amp;</w:t>
      </w:r>
      <w:r>
        <w:br w:type="textWrapping"/>
      </w:r>
      <w:r>
        <w:rPr>
          <w:b/>
        </w:rPr>
        <w:t xml:space="preserve">LMC 2005</w:t>
      </w:r>
      <w:r>
        <w:t xml:space="preserve"> </w:t>
      </w:r>
      <w:r>
        <w:t xml:space="preserve">&amp; 11.5 (21) &amp; 2453700.5 (21) &amp; 63 (22) &amp; 900 (23) &amp; 0.15 (203) &amp; 1e+21 &amp; &amp; 50 &amp; M (24) &amp;</w:t>
      </w:r>
      <w:r>
        <w:br w:type="textWrapping"/>
      </w:r>
      <w:r>
        <w:rPr>
          <w:b/>
        </w:rPr>
        <w:t xml:space="preserve">LMC 2009a</w:t>
      </w:r>
      <w:r>
        <w:t xml:space="preserve"> </w:t>
      </w:r>
      <w:r>
        <w:t xml:space="preserve">&amp; 10.6 (25) &amp; 2454867.5 (25) &amp; 4</w:t>
      </w:r>
      <m:oMath>
        <m:r>
          <m:t>±</m:t>
        </m:r>
        <m:r>
          <m:t>1</m:t>
        </m:r>
      </m:oMath>
      <w:r>
        <w:t xml:space="preserve"> </w:t>
      </w:r>
      <w:r>
        <w:t xml:space="preserve">&amp; 3900 (25) &amp; 0.15 (203) &amp; 5.7e+20 &amp; 1.19 (26) &amp; 50 &amp; N &amp; Y</w:t>
      </w:r>
      <w:r>
        <w:br w:type="textWrapping"/>
      </w:r>
      <w:r>
        <w:rPr>
          <w:b/>
        </w:rPr>
        <w:t xml:space="preserve">SMC 2005</w:t>
      </w:r>
      <w:r>
        <w:t xml:space="preserve"> </w:t>
      </w:r>
      <w:r>
        <w:t xml:space="preserve">&amp; 10.4 (27) &amp; 2453588.5 (27) &amp; &amp; 3200 (28) &amp; &amp; 5e+20 &amp; &amp; 61 &amp; &amp;</w:t>
      </w:r>
      <w:r>
        <w:br w:type="textWrapping"/>
      </w:r>
      <w:r>
        <w:rPr>
          <w:b/>
        </w:rPr>
        <w:t xml:space="preserve">QY Mus</w:t>
      </w:r>
      <w:r>
        <w:t xml:space="preserve"> </w:t>
      </w:r>
      <w:r>
        <w:t xml:space="preserve">&amp; 8.1 (29) &amp; 2454739.90 (29) &amp; 60: &amp; &amp; 0.71 (30) &amp; 4.2e+21 &amp; &amp; &amp; M &amp;</w:t>
      </w:r>
      <w:r>
        <w:br w:type="textWrapping"/>
      </w:r>
      <w:r>
        <w:rPr>
          <w:b/>
        </w:rPr>
        <w:t xml:space="preserve">RS Oph</w:t>
      </w:r>
      <w:r>
        <w:t xml:space="preserve"> </w:t>
      </w:r>
      <w:r>
        <w:t xml:space="preserve">&amp; 4.5 (31) &amp; 2453779.44 (14) &amp; 7.9 (14) &amp; 3930 (31) &amp; 0.73 (32) &amp; 2.25e+21 &amp; 456 (33) &amp; 1.6</w:t>
      </w:r>
      <m:oMath>
        <m:r>
          <m:t>±</m:t>
        </m:r>
        <m:r>
          <m:t>0.3</m:t>
        </m:r>
      </m:oMath>
      <w:r>
        <w:t xml:space="preserve"> </w:t>
      </w:r>
      <w:r>
        <w:t xml:space="preserve">(33) &amp; N (34) &amp; Y</w:t>
      </w:r>
      <w:r>
        <w:br w:type="textWrapping"/>
      </w:r>
      <w:r>
        <w:rPr>
          <w:b/>
        </w:rPr>
        <w:t xml:space="preserve">U Sco</w:t>
      </w:r>
      <w:r>
        <w:t xml:space="preserve"> </w:t>
      </w:r>
      <w:r>
        <w:t xml:space="preserve">&amp; 8.05 (35) &amp; 2455224.94 (35) &amp; 1.2 (36) &amp; 7600 (37) &amp; 0.2</w:t>
      </w:r>
      <m:oMath>
        <m:r>
          <m:t>±</m:t>
        </m:r>
        <m:r>
          <m:t>0.1</m:t>
        </m:r>
      </m:oMath>
      <w:r>
        <w:t xml:space="preserve"> </w:t>
      </w:r>
      <w:r>
        <w:t xml:space="preserve">(4) &amp; 1.2e+21 &amp; 1.23056 (36) &amp; 12</w:t>
      </w:r>
      <m:oMath>
        <m:r>
          <m:t>±</m:t>
        </m:r>
        <m:r>
          <m:t>2</m:t>
        </m:r>
      </m:oMath>
      <w:r>
        <w:t xml:space="preserve"> </w:t>
      </w:r>
      <w:r>
        <w:t xml:space="preserve">(4) &amp; N &amp; Y</w:t>
      </w:r>
      <w:r>
        <w:br w:type="textWrapping"/>
      </w:r>
      <w:r>
        <w:rPr>
          <w:b/>
        </w:rPr>
        <w:t xml:space="preserve">V1047 Cen</w:t>
      </w:r>
      <w:r>
        <w:t xml:space="preserve"> </w:t>
      </w:r>
      <w:r>
        <w:t xml:space="preserve">&amp; 8.5 (38) &amp; 2453614.5 (39) &amp; 6 (40) &amp; 840 (38) &amp; &amp; 1.4e+22 &amp; &amp; &amp; &amp;</w:t>
      </w:r>
      <w:r>
        <w:br w:type="textWrapping"/>
      </w:r>
      <w:r>
        <w:rPr>
          <w:b/>
        </w:rPr>
        <w:t xml:space="preserve">V1065 Cen</w:t>
      </w:r>
      <w:r>
        <w:t xml:space="preserve"> </w:t>
      </w:r>
      <w:r>
        <w:t xml:space="preserve">&amp; 8.2 (41) &amp; 2454123.5 (41) &amp; 11 (42) &amp; 2700 (43) &amp; 0.5</w:t>
      </w:r>
      <m:oMath>
        <m:r>
          <m:t>±</m:t>
        </m:r>
        <m:r>
          <m:t>0.1</m:t>
        </m:r>
      </m:oMath>
      <w:r>
        <w:t xml:space="preserve"> </w:t>
      </w:r>
      <w:r>
        <w:t xml:space="preserve">(42) &amp; 3.75e+21 &amp; &amp; 9.05</w:t>
      </w:r>
      <m:oMath>
        <m:r>
          <m:t>±</m:t>
        </m:r>
        <m:r>
          <m:t>2.8</m:t>
        </m:r>
      </m:oMath>
      <w:r>
        <w:t xml:space="preserve"> </w:t>
      </w:r>
      <w:r>
        <w:t xml:space="preserve">(42) &amp; Y (42) &amp;</w:t>
      </w:r>
      <w:r>
        <w:br w:type="textWrapping"/>
      </w:r>
      <w:r>
        <w:t xml:space="preserve">V1187 Sco &amp; 7.4 (44) &amp; 2453220.5 (44) &amp; 7: (45) &amp; 3000 (44) &amp; 1.56 (44) &amp; 8.0e+21 &amp; &amp; 4.9</w:t>
      </w:r>
      <m:oMath>
        <m:r>
          <m:t>±</m:t>
        </m:r>
        <m:r>
          <m:t>0.5</m:t>
        </m:r>
      </m:oMath>
      <w:r>
        <w:t xml:space="preserve"> </w:t>
      </w:r>
      <w:r>
        <w:t xml:space="preserve">(44) &amp; N &amp;</w:t>
      </w:r>
      <w:r>
        <w:br w:type="textWrapping"/>
      </w:r>
      <w:r>
        <w:rPr>
          <w:b/>
        </w:rPr>
        <w:t xml:space="preserve">V1188 Sco</w:t>
      </w:r>
      <w:r>
        <w:t xml:space="preserve"> </w:t>
      </w:r>
      <w:r>
        <w:t xml:space="preserve">&amp; 8.7 (46) &amp; 2453577.5 (46) &amp; 7 (40) &amp; 1730 (47) &amp; &amp; 5.0e+21 &amp; &amp; 7.5 (39) &amp; &amp;</w:t>
      </w:r>
      <w:r>
        <w:br w:type="textWrapping"/>
      </w:r>
      <w:r>
        <w:rPr>
          <w:b/>
        </w:rPr>
        <w:t xml:space="preserve">V1213 Cen</w:t>
      </w:r>
      <w:r>
        <w:t xml:space="preserve"> </w:t>
      </w:r>
      <w:r>
        <w:t xml:space="preserve">&amp; 8.53 (48) &amp; 2454959.5 (48) &amp; 11</w:t>
      </w:r>
      <m:oMath>
        <m:r>
          <m:t>±</m:t>
        </m:r>
        <m:r>
          <m:t>2</m:t>
        </m:r>
      </m:oMath>
      <w:r>
        <w:t xml:space="preserve"> </w:t>
      </w:r>
      <w:r>
        <w:t xml:space="preserve">(49) &amp; 2300 (50) &amp; 2.07 (30) &amp; 1.0e+22 &amp; &amp; &amp; &amp;</w:t>
      </w:r>
      <w:r>
        <w:br w:type="textWrapping"/>
      </w:r>
      <w:r>
        <w:rPr>
          <w:b/>
        </w:rPr>
        <w:t xml:space="preserve">V1280 Sco</w:t>
      </w:r>
      <w:r>
        <w:t xml:space="preserve"> </w:t>
      </w:r>
      <w:r>
        <w:t xml:space="preserve">&amp; 3.79 (51) &amp; 2454147.65 (14) &amp; 21 (52) &amp; 640 (53) &amp; 0.36 (54) &amp; 1.6e+21 &amp; &amp; 1.6</w:t>
      </w:r>
      <m:oMath>
        <m:r>
          <m:t>±</m:t>
        </m:r>
        <m:r>
          <m:t>0.4</m:t>
        </m:r>
      </m:oMath>
      <w:r>
        <w:t xml:space="preserve"> </w:t>
      </w:r>
      <w:r>
        <w:t xml:space="preserve">(54) &amp; Y (54) &amp;</w:t>
      </w:r>
      <w:r>
        <w:br w:type="textWrapping"/>
      </w:r>
      <w:r>
        <w:rPr>
          <w:b/>
        </w:rPr>
        <w:t xml:space="preserve">V1281 Sco</w:t>
      </w:r>
      <w:r>
        <w:t xml:space="preserve"> </w:t>
      </w:r>
      <w:r>
        <w:t xml:space="preserve">&amp; 8.8 (55) &amp; 2454152.21 (55) &amp; 15:&amp; 1800 (56) &amp; 0.7 (57) &amp; 3.2e+21 &amp; &amp; &amp; N &amp;</w:t>
      </w:r>
      <w:r>
        <w:br w:type="textWrapping"/>
      </w:r>
      <w:r>
        <w:rPr>
          <w:b/>
        </w:rPr>
        <w:t xml:space="preserve">V1309 Sco</w:t>
      </w:r>
      <w:r>
        <w:t xml:space="preserve"> </w:t>
      </w:r>
      <w:r>
        <w:t xml:space="preserve">&amp; 7.1 (58) &amp; 2454714.5 (58) &amp; 23</w:t>
      </w:r>
      <m:oMath>
        <m:r>
          <m:t>±</m:t>
        </m:r>
        <m:r>
          <m:t>2</m:t>
        </m:r>
      </m:oMath>
      <w:r>
        <w:t xml:space="preserve"> </w:t>
      </w:r>
      <w:r>
        <w:t xml:space="preserve">(59) &amp; 670 (60) &amp; 1.2 (30) &amp; 4.0e+21 &amp; &amp; &amp; &amp;</w:t>
      </w:r>
      <w:r>
        <w:br w:type="textWrapping"/>
      </w:r>
      <w:r>
        <w:rPr>
          <w:b/>
        </w:rPr>
        <w:t xml:space="preserve">V1494 Aql</w:t>
      </w:r>
      <w:r>
        <w:t xml:space="preserve"> </w:t>
      </w:r>
      <w:r>
        <w:t xml:space="preserve">&amp; 3.8 (61) &amp; 2451515.5 (61) &amp; 6.6</w:t>
      </w:r>
      <m:oMath>
        <m:r>
          <m:t>±</m:t>
        </m:r>
        <m:r>
          <m:t>0.5</m:t>
        </m:r>
      </m:oMath>
      <w:r>
        <w:t xml:space="preserve"> </w:t>
      </w:r>
      <w:r>
        <w:t xml:space="preserve">(61) &amp; 1200 (62) &amp; 0.6 (63) &amp; 3.6e+21 &amp; 0.13467 (64) &amp; 1.6</w:t>
      </w:r>
      <m:oMath>
        <m:r>
          <m:t>±</m:t>
        </m:r>
        <m:r>
          <m:t>0.1</m:t>
        </m:r>
      </m:oMath>
      <w:r>
        <w:t xml:space="preserve"> </w:t>
      </w:r>
      <w:r>
        <w:t xml:space="preserve">(63) &amp; N &amp;</w:t>
      </w:r>
      <w:r>
        <w:br w:type="textWrapping"/>
      </w:r>
      <w:r>
        <w:rPr>
          <w:b/>
        </w:rPr>
        <w:t xml:space="preserve">V1663 Aql</w:t>
      </w:r>
      <w:r>
        <w:t xml:space="preserve"> </w:t>
      </w:r>
      <w:r>
        <w:t xml:space="preserve">&amp; 10.5 (65) &amp; 2453531.5 (65) &amp; 17 (66) &amp; 1900 (67) &amp; 2: (68) &amp; 1.6e+22 &amp; &amp; 8.9</w:t>
      </w:r>
      <m:oMath>
        <m:r>
          <m:t>±</m:t>
        </m:r>
        <m:r>
          <m:t>3.6</m:t>
        </m:r>
      </m:oMath>
      <w:r>
        <w:t xml:space="preserve"> </w:t>
      </w:r>
      <w:r>
        <w:t xml:space="preserve">(69) &amp; N &amp;</w:t>
      </w:r>
      <w:r>
        <w:br w:type="textWrapping"/>
      </w:r>
      <w:r>
        <w:t xml:space="preserve">V1974 Cyg &amp; 4.3 (70) &amp; 2448654.5 (70) &amp; 17 (71) &amp; 2000 (19) &amp; 0.36</w:t>
      </w:r>
      <m:oMath>
        <m:r>
          <m:t>±</m:t>
        </m:r>
        <m:r>
          <m:t>0.04</m:t>
        </m:r>
      </m:oMath>
      <w:r>
        <w:t xml:space="preserve"> </w:t>
      </w:r>
      <w:r>
        <w:t xml:space="preserve">(71) &amp; 2.7e+21 &amp; 0.081263 (70) &amp; 1.8</w:t>
      </w:r>
      <m:oMath>
        <m:r>
          <m:t>±</m:t>
        </m:r>
        <m:r>
          <m:t>0.1</m:t>
        </m:r>
      </m:oMath>
      <w:r>
        <w:t xml:space="preserve"> </w:t>
      </w:r>
      <w:r>
        <w:t xml:space="preserve">(72) &amp; N &amp;</w:t>
      </w:r>
      <w:r>
        <w:br w:type="textWrapping"/>
      </w:r>
      <w:r>
        <w:rPr>
          <w:b/>
        </w:rPr>
        <w:t xml:space="preserve">V2361 Cyg</w:t>
      </w:r>
      <w:r>
        <w:t xml:space="preserve"> </w:t>
      </w:r>
      <w:r>
        <w:t xml:space="preserve">&amp; 9.3 (73) &amp; 2453412.5 (73) &amp; 6 (40) &amp; 3200 (74) &amp; 1.2: (75) &amp; 7.0e+21 &amp; &amp; &amp; Y (40) &amp;</w:t>
      </w:r>
      <w:r>
        <w:br w:type="textWrapping"/>
      </w:r>
      <w:r>
        <w:rPr>
          <w:b/>
        </w:rPr>
        <w:t xml:space="preserve">V2362 Cyg</w:t>
      </w:r>
      <w:r>
        <w:t xml:space="preserve"> </w:t>
      </w:r>
      <w:r>
        <w:t xml:space="preserve">&amp; 7.8 (76) &amp; 2453831.5 (76) &amp; 9 (77) &amp; 1850 (78) &amp; 0.575</w:t>
      </w:r>
      <m:oMath>
        <m:r>
          <m:t>±</m:t>
        </m:r>
        <m:r>
          <m:t>0.015</m:t>
        </m:r>
      </m:oMath>
      <w:r>
        <w:t xml:space="preserve"> </w:t>
      </w:r>
      <w:r>
        <w:t xml:space="preserve">(79) &amp; 4.4e+21 &amp; 0.06577 (80) &amp; 7.75</w:t>
      </w:r>
      <m:oMath>
        <m:r>
          <m:t>±</m:t>
        </m:r>
        <m:r>
          <m:t>3</m:t>
        </m:r>
      </m:oMath>
      <w:r>
        <w:t xml:space="preserve"> </w:t>
      </w:r>
      <w:r>
        <w:t xml:space="preserve">(77) &amp; Y (81) &amp;</w:t>
      </w:r>
      <w:r>
        <w:br w:type="textWrapping"/>
      </w:r>
      <w:r>
        <w:rPr>
          <w:b/>
        </w:rPr>
        <w:t xml:space="preserve">V2467 Cyg</w:t>
      </w:r>
      <w:r>
        <w:t xml:space="preserve"> </w:t>
      </w:r>
      <w:r>
        <w:t xml:space="preserve">&amp; 6.7 (82) &amp; 2454176.27 (82) &amp; 7 (83) &amp; 950 (82) &amp; 1.5 (84) &amp; 1.4e+22 &amp; 0.159 (85) &amp; 3.1</w:t>
      </w:r>
      <m:oMath>
        <m:r>
          <m:t>±</m:t>
        </m:r>
        <m:r>
          <m:t>0.5</m:t>
        </m:r>
      </m:oMath>
      <w:r>
        <w:t xml:space="preserve"> </w:t>
      </w:r>
      <w:r>
        <w:t xml:space="preserve">(86) &amp; M (87) &amp;</w:t>
      </w:r>
      <w:r>
        <w:br w:type="textWrapping"/>
      </w:r>
      <w:r>
        <w:rPr>
          <w:b/>
        </w:rPr>
        <w:t xml:space="preserve">V2468 Cyg</w:t>
      </w:r>
      <w:r>
        <w:t xml:space="preserve"> </w:t>
      </w:r>
      <w:r>
        <w:t xml:space="preserve">&amp; 7.4 (88) &amp; 2454534.2 (88) &amp; 10: &amp; 1000 (88) &amp; 0.77 (89) &amp; 1.0e+22 &amp; 0.242 (90) &amp; &amp; N &amp;</w:t>
      </w:r>
      <w:r>
        <w:br w:type="textWrapping"/>
      </w:r>
      <w:r>
        <w:rPr>
          <w:b/>
        </w:rPr>
        <w:t xml:space="preserve">V2491 Cyg</w:t>
      </w:r>
      <w:r>
        <w:t xml:space="preserve"> </w:t>
      </w:r>
      <w:r>
        <w:t xml:space="preserve">&amp; 7.54 (91) &amp; 2454567.86 (91) &amp; 4.6 (92) &amp; 4860 (93) &amp; 0.43 (94) &amp; 4.7e+21 &amp; 0.09580: (95) &amp; 10.5 (96) &amp; N &amp; M</w:t>
      </w:r>
      <w:r>
        <w:br w:type="textWrapping"/>
      </w:r>
      <w:r>
        <w:t xml:space="preserve">V2487 Oph &amp; 9.5 (97) &amp; 2450979.5 (97) &amp; 6.3 (98) &amp; 10000 (98) &amp; 0.38</w:t>
      </w:r>
      <m:oMath>
        <m:r>
          <m:t>±</m:t>
        </m:r>
        <m:r>
          <m:t>0.08</m:t>
        </m:r>
      </m:oMath>
      <w:r>
        <w:t xml:space="preserve"> </w:t>
      </w:r>
      <w:r>
        <w:t xml:space="preserve">(98) &amp; 2.0e+21 &amp; &amp; 27.5</w:t>
      </w:r>
      <m:oMath>
        <m:r>
          <m:t>±</m:t>
        </m:r>
        <m:r>
          <m:t>3</m:t>
        </m:r>
      </m:oMath>
      <w:r>
        <w:t xml:space="preserve"> </w:t>
      </w:r>
      <w:r>
        <w:t xml:space="preserve">(99) &amp; N (100) &amp; Y (101)</w:t>
      </w:r>
      <w:r>
        <w:br w:type="textWrapping"/>
      </w:r>
      <w:r>
        <w:rPr>
          <w:b/>
        </w:rPr>
        <w:t xml:space="preserve">V2540 Oph</w:t>
      </w:r>
      <w:r>
        <w:t xml:space="preserve"> </w:t>
      </w:r>
      <w:r>
        <w:t xml:space="preserve">&amp; 8.5 (102) &amp; 2452295.5 (102) &amp; &amp; &amp; &amp; 2.3e+21 &amp; 0.284781 (103) &amp; 5.2</w:t>
      </w:r>
      <m:oMath>
        <m:r>
          <m:t>±</m:t>
        </m:r>
        <m:r>
          <m:t>0.8</m:t>
        </m:r>
      </m:oMath>
      <w:r>
        <w:t xml:space="preserve"> </w:t>
      </w:r>
      <w:r>
        <w:t xml:space="preserve">(103) &amp; N &amp;</w:t>
      </w:r>
      <w:r>
        <w:br w:type="textWrapping"/>
      </w:r>
      <w:r>
        <w:t xml:space="preserve">V2575 Oph &amp; 11.1 (104) &amp; 2453778.8 (104) &amp; 20: &amp; 560 (104) &amp; 1.4 (105) &amp; 3.3e+21 &amp; &amp; &amp; N (105) &amp;</w:t>
      </w:r>
      <w:r>
        <w:br w:type="textWrapping"/>
      </w:r>
      <w:r>
        <w:rPr>
          <w:b/>
        </w:rPr>
        <w:t xml:space="preserve">V2576 Oph</w:t>
      </w:r>
      <w:r>
        <w:t xml:space="preserve"> </w:t>
      </w:r>
      <w:r>
        <w:t xml:space="preserve">&amp; 9.2 (106) &amp; 2453832.5 (106) &amp; 8: &amp; 1470 (106) &amp; 0.25 (107) &amp; 2.6e+21 &amp; &amp; &amp; N &amp;</w:t>
      </w:r>
      <w:r>
        <w:br w:type="textWrapping"/>
      </w:r>
      <w:r>
        <w:rPr>
          <w:b/>
        </w:rPr>
        <w:t xml:space="preserve">V2615 Oph</w:t>
      </w:r>
      <w:r>
        <w:t xml:space="preserve"> </w:t>
      </w:r>
      <w:r>
        <w:t xml:space="preserve">&amp; 8.52 (108) &amp; 2454187.5 (108) &amp; 26.5 (108) &amp; 800 (109) &amp; 0.9 (108) &amp; 3.1e+21 &amp; &amp; 3.7</w:t>
      </w:r>
      <m:oMath>
        <m:r>
          <m:t>±</m:t>
        </m:r>
        <m:r>
          <m:t>0.2</m:t>
        </m:r>
      </m:oMath>
      <w:r>
        <w:t xml:space="preserve"> </w:t>
      </w:r>
      <w:r>
        <w:t xml:space="preserve">(108) &amp; Y (110) &amp;</w:t>
      </w:r>
      <w:r>
        <w:br w:type="textWrapping"/>
      </w:r>
      <w:r>
        <w:rPr>
          <w:b/>
        </w:rPr>
        <w:t xml:space="preserve">V2670 Oph</w:t>
      </w:r>
      <w:r>
        <w:t xml:space="preserve"> </w:t>
      </w:r>
      <w:r>
        <w:t xml:space="preserve">&amp; 9.9 (111) &amp; 2454613.11 (111) &amp; 15: &amp; 600 (112) &amp; 1.3: (113) &amp; 2.9e+21 &amp; &amp; &amp; N (114) &amp;</w:t>
      </w:r>
      <w:r>
        <w:br w:type="textWrapping"/>
      </w:r>
      <w:r>
        <w:rPr>
          <w:b/>
        </w:rPr>
        <w:t xml:space="preserve">V2671 Oph</w:t>
      </w:r>
      <w:r>
        <w:t xml:space="preserve"> </w:t>
      </w:r>
      <w:r>
        <w:t xml:space="preserve">&amp; 11.1 (115) &amp; 2454617.5 (115) &amp; 8: &amp; 1210 (116) &amp; 2.0 (117) &amp; 3.3e+21 &amp; &amp; &amp; M (117) &amp;</w:t>
      </w:r>
      <w:r>
        <w:br w:type="textWrapping"/>
      </w:r>
      <w:r>
        <w:rPr>
          <w:b/>
        </w:rPr>
        <w:t xml:space="preserve">V2672 Oph</w:t>
      </w:r>
      <w:r>
        <w:t xml:space="preserve"> </w:t>
      </w:r>
      <w:r>
        <w:t xml:space="preserve">&amp; 10.0 (118) &amp; 2455060.02 (118) &amp; 2.3 (119) &amp; 8000 (118) &amp; 1.6</w:t>
      </w:r>
      <m:oMath>
        <m:r>
          <m:t>±</m:t>
        </m:r>
        <m:r>
          <m:t>0.1</m:t>
        </m:r>
      </m:oMath>
      <w:r>
        <w:t xml:space="preserve"> </w:t>
      </w:r>
      <w:r>
        <w:t xml:space="preserve">(119) &amp; 4.0e+21 &amp; &amp; 19</w:t>
      </w:r>
      <m:oMath>
        <m:r>
          <m:t>±</m:t>
        </m:r>
        <m:r>
          <m:t>2</m:t>
        </m:r>
      </m:oMath>
      <w:r>
        <w:t xml:space="preserve"> </w:t>
      </w:r>
      <w:r>
        <w:t xml:space="preserve">(119) &amp; &amp; M</w:t>
      </w:r>
      <w:r>
        <w:br w:type="textWrapping"/>
      </w:r>
      <w:r>
        <w:t xml:space="preserve">V351 Pup &amp; 6.5 (120) &amp; 2448617.5 (120) &amp; 16 (121) &amp; &amp; 0.72</w:t>
      </w:r>
      <m:oMath>
        <m:r>
          <m:t>±</m:t>
        </m:r>
        <m:r>
          <m:t>0.1</m:t>
        </m:r>
      </m:oMath>
      <w:r>
        <w:t xml:space="preserve"> </w:t>
      </w:r>
      <w:r>
        <w:t xml:space="preserve">(122) &amp; 6.2e+21 &amp; 0.1182 (123) &amp; 2.7</w:t>
      </w:r>
      <m:oMath>
        <m:r>
          <m:t>±</m:t>
        </m:r>
        <m:r>
          <m:t>0.7</m:t>
        </m:r>
      </m:oMath>
      <w:r>
        <w:t xml:space="preserve"> </w:t>
      </w:r>
      <w:r>
        <w:t xml:space="preserve">(122) &amp; N &amp;</w:t>
      </w:r>
      <w:r>
        <w:br w:type="textWrapping"/>
      </w:r>
      <w:r>
        <w:rPr>
          <w:b/>
        </w:rPr>
        <w:t xml:space="preserve">V382 Nor</w:t>
      </w:r>
      <w:r>
        <w:t xml:space="preserve"> </w:t>
      </w:r>
      <w:r>
        <w:t xml:space="preserve">&amp; 8.9 (124) &amp; 2453447.5 (124) &amp; 12 (40) &amp; 1850 (23) &amp; &amp; 1.7e+22 &amp; &amp; &amp; &amp;</w:t>
      </w:r>
      <w:r>
        <w:br w:type="textWrapping"/>
      </w:r>
      <w:r>
        <w:t xml:space="preserve">V382 Vel &amp; 2.85 (125) &amp; 2451320.5 (125) &amp; 4.5 (126) &amp; 2400 (126) &amp; 0.05: (126) &amp; 3.4e+21 &amp; 0.146126 (127) &amp; 1.68</w:t>
      </w:r>
      <m:oMath>
        <m:r>
          <m:t>±</m:t>
        </m:r>
        <m:r>
          <m:t>0.3</m:t>
        </m:r>
      </m:oMath>
      <w:r>
        <w:t xml:space="preserve"> </w:t>
      </w:r>
      <w:r>
        <w:t xml:space="preserve">(126) &amp; N &amp;</w:t>
      </w:r>
      <w:r>
        <w:br w:type="textWrapping"/>
      </w:r>
      <w:r>
        <w:rPr>
          <w:b/>
        </w:rPr>
        <w:t xml:space="preserve">V407 Cyg</w:t>
      </w:r>
      <w:r>
        <w:t xml:space="preserve"> </w:t>
      </w:r>
      <w:r>
        <w:t xml:space="preserve">&amp; 6.8 (128) &amp; 2455266.314 (128) &amp; 5.9 (129) &amp; 2760 (129) &amp; 0.5</w:t>
      </w:r>
      <m:oMath>
        <m:r>
          <m:t>±</m:t>
        </m:r>
        <m:r>
          <m:t>0.05</m:t>
        </m:r>
      </m:oMath>
      <w:r>
        <w:t xml:space="preserve"> </w:t>
      </w:r>
      <w:r>
        <w:t xml:space="preserve">(130) &amp; 8.8e+21 &amp; 15595 (131) &amp; 2.7 (131) &amp; &amp; Y</w:t>
      </w:r>
      <w:r>
        <w:br w:type="textWrapping"/>
      </w:r>
      <w:r>
        <w:rPr>
          <w:b/>
        </w:rPr>
        <w:t xml:space="preserve">V458 Vul</w:t>
      </w:r>
      <w:r>
        <w:t xml:space="preserve"> </w:t>
      </w:r>
      <w:r>
        <w:t xml:space="preserve">&amp; 8.24 (132) &amp; 2454322.39 (132) &amp; 7 (133) &amp; 1750 (134) &amp; 0.6 (135) &amp; 3.6e+21 &amp; 0.06812255 (136) &amp; 8.5</w:t>
      </w:r>
      <m:oMath>
        <m:r>
          <m:t>±</m:t>
        </m:r>
        <m:r>
          <m:t>1.8</m:t>
        </m:r>
      </m:oMath>
      <w:r>
        <w:t xml:space="preserve"> </w:t>
      </w:r>
      <w:r>
        <w:t xml:space="preserve">(133) &amp; N (135) &amp;</w:t>
      </w:r>
      <w:r>
        <w:br w:type="textWrapping"/>
      </w:r>
      <w:r>
        <w:rPr>
          <w:b/>
        </w:rPr>
        <w:t xml:space="preserve">V459 Vul</w:t>
      </w:r>
      <w:r>
        <w:t xml:space="preserve"> </w:t>
      </w:r>
      <w:r>
        <w:t xml:space="preserve">&amp; 7.57 (137) &amp; 2454461.5 (137) &amp; 18 (138) &amp; 910 (139) &amp; 1.0 (140) &amp; 5.5e+21 &amp; &amp; 3.65</w:t>
      </w:r>
      <m:oMath>
        <m:r>
          <m:t>±</m:t>
        </m:r>
        <m:r>
          <m:t>1.35</m:t>
        </m:r>
      </m:oMath>
      <w:r>
        <w:t xml:space="preserve"> </w:t>
      </w:r>
      <w:r>
        <w:t xml:space="preserve">(138) &amp; Y (140) &amp;</w:t>
      </w:r>
      <w:r>
        <w:br w:type="textWrapping"/>
      </w:r>
      <w:r>
        <w:t xml:space="preserve">V4633 Sgr &amp; 7.8 (141) &amp; 2450895.5 (141) &amp; 19</w:t>
      </w:r>
      <m:oMath>
        <m:r>
          <m:t>±</m:t>
        </m:r>
        <m:r>
          <m:t>3</m:t>
        </m:r>
      </m:oMath>
      <w:r>
        <w:t xml:space="preserve"> </w:t>
      </w:r>
      <w:r>
        <w:t xml:space="preserve">(142) &amp; 1700 (143) &amp; 0.21 (142) &amp; 1.4e+21 &amp; 0.125576 (144) &amp; 8.9</w:t>
      </w:r>
      <m:oMath>
        <m:r>
          <m:t>±</m:t>
        </m:r>
        <m:r>
          <m:t>2.5</m:t>
        </m:r>
      </m:oMath>
      <w:r>
        <w:t xml:space="preserve"> </w:t>
      </w:r>
      <w:r>
        <w:t xml:space="preserve">(142) &amp; N &amp;</w:t>
      </w:r>
      <w:r>
        <w:br w:type="textWrapping"/>
      </w:r>
      <w:r>
        <w:rPr>
          <w:b/>
        </w:rPr>
        <w:t xml:space="preserve">V4643 Sgr</w:t>
      </w:r>
      <w:r>
        <w:t xml:space="preserve"> </w:t>
      </w:r>
      <w:r>
        <w:t xml:space="preserve">&amp; 8.07 (145) &amp; 2451965.867 (145) &amp; 4.8 (146) &amp; 4700 (147) &amp; 1.67 (148) &amp; 1.4e+22 &amp; &amp; 3 (148) &amp; N &amp;</w:t>
      </w:r>
      <w:r>
        <w:br w:type="textWrapping"/>
      </w:r>
      <w:r>
        <w:rPr>
          <w:b/>
        </w:rPr>
        <w:t xml:space="preserve">V4743 Sgr</w:t>
      </w:r>
      <w:r>
        <w:t xml:space="preserve"> </w:t>
      </w:r>
      <w:r>
        <w:t xml:space="preserve">&amp; 5.0 (149) &amp; 2452537.5 (149) &amp; 9 (150) &amp; 2400 (149) &amp; 0.25 (151) &amp; 1.2e+21 &amp; 0.281 (152) &amp; 3.9</w:t>
      </w:r>
      <m:oMath>
        <m:r>
          <m:t>±</m:t>
        </m:r>
        <m:r>
          <m:t>0.3</m:t>
        </m:r>
      </m:oMath>
      <w:r>
        <w:t xml:space="preserve"> </w:t>
      </w:r>
      <w:r>
        <w:t xml:space="preserve">(151) &amp; N &amp;</w:t>
      </w:r>
      <w:r>
        <w:br w:type="textWrapping"/>
      </w:r>
      <w:r>
        <w:rPr>
          <w:b/>
        </w:rPr>
        <w:t xml:space="preserve">V4745 Sgr</w:t>
      </w:r>
      <w:r>
        <w:t xml:space="preserve"> </w:t>
      </w:r>
      <w:r>
        <w:t xml:space="preserve">&amp; 7.41 (153) &amp; 2452747.5 (153) &amp; 8.6 (154) &amp; 1600 (155) &amp; 0.1 (154) &amp; 9.0e+20 &amp; 0.20782 (156) &amp; 14</w:t>
      </w:r>
      <m:oMath>
        <m:r>
          <m:t>±</m:t>
        </m:r>
        <m:r>
          <m:t>5</m:t>
        </m:r>
      </m:oMath>
      <w:r>
        <w:t xml:space="preserve"> </w:t>
      </w:r>
      <w:r>
        <w:t xml:space="preserve">(154) &amp; &amp;</w:t>
      </w:r>
      <w:r>
        <w:br w:type="textWrapping"/>
      </w:r>
      <w:r>
        <w:rPr>
          <w:b/>
        </w:rPr>
        <w:t xml:space="preserve">V476 Sct</w:t>
      </w:r>
      <w:r>
        <w:t xml:space="preserve"> </w:t>
      </w:r>
      <w:r>
        <w:t xml:space="preserve">&amp; 10.3 (157) &amp; 2453643.5 (157) &amp; 15 (158) &amp; &amp; 1.9 (158) &amp; 1.2e+22 &amp; &amp; 4</w:t>
      </w:r>
      <m:oMath>
        <m:r>
          <m:t>±</m:t>
        </m:r>
        <m:r>
          <m:t>1</m:t>
        </m:r>
      </m:oMath>
      <w:r>
        <w:t xml:space="preserve"> </w:t>
      </w:r>
      <w:r>
        <w:t xml:space="preserve">(158) &amp; M (159) &amp;</w:t>
      </w:r>
      <w:r>
        <w:br w:type="textWrapping"/>
      </w:r>
      <w:r>
        <w:rPr>
          <w:b/>
        </w:rPr>
        <w:t xml:space="preserve">V477 Sct</w:t>
      </w:r>
      <w:r>
        <w:t xml:space="preserve"> </w:t>
      </w:r>
      <w:r>
        <w:t xml:space="preserve">&amp; 9.8 (160) &amp; 2453655.5 (160) &amp; 3 (160) &amp; 2900 (161) &amp; 1.2: (162) &amp; 4e+21 &amp; &amp; &amp; M (163) &amp;</w:t>
      </w:r>
      <w:r>
        <w:br w:type="textWrapping"/>
      </w:r>
      <w:r>
        <w:rPr>
          <w:b/>
        </w:rPr>
        <w:t xml:space="preserve">V5114 Sgr</w:t>
      </w:r>
      <w:r>
        <w:t xml:space="preserve"> </w:t>
      </w:r>
      <w:r>
        <w:t xml:space="preserve">&amp; 8.38 (164) &amp; 2453081.5 (164) &amp; 11 (165) &amp; 2000 (23) &amp; &amp; 1.5e+21 &amp; &amp; 7.7</w:t>
      </w:r>
      <m:oMath>
        <m:r>
          <m:t>±</m:t>
        </m:r>
        <m:r>
          <m:t>0.7</m:t>
        </m:r>
      </m:oMath>
      <w:r>
        <w:t xml:space="preserve"> </w:t>
      </w:r>
      <w:r>
        <w:t xml:space="preserve">(165) &amp; N (166) &amp;</w:t>
      </w:r>
      <w:r>
        <w:br w:type="textWrapping"/>
      </w:r>
      <w:r>
        <w:rPr>
          <w:b/>
        </w:rPr>
        <w:t xml:space="preserve">V5115 Sgr</w:t>
      </w:r>
      <w:r>
        <w:t xml:space="preserve"> </w:t>
      </w:r>
      <w:r>
        <w:t xml:space="preserve">&amp; 7.7 (167) &amp; 2453459.5 (167) &amp; 7 (40) &amp; 1300 (168) &amp; 0.53 (169) &amp; 2.3e+21 &amp; &amp; &amp; N (169) &amp;</w:t>
      </w:r>
      <w:r>
        <w:br w:type="textWrapping"/>
      </w:r>
      <w:r>
        <w:rPr>
          <w:b/>
        </w:rPr>
        <w:t xml:space="preserve">V5116 Sgr</w:t>
      </w:r>
      <w:r>
        <w:t xml:space="preserve"> </w:t>
      </w:r>
      <w:r>
        <w:t xml:space="preserve">&amp; 8.15 (170) &amp; 2453556.91 (170) &amp; 6.5 (171) &amp; 970 (172) &amp; 0.25 (173) &amp; 1.5e+21 &amp; 0.1238 (171) &amp; 11</w:t>
      </w:r>
      <m:oMath>
        <m:r>
          <m:t>±</m:t>
        </m:r>
        <m:r>
          <m:t>3</m:t>
        </m:r>
      </m:oMath>
      <w:r>
        <w:t xml:space="preserve"> </w:t>
      </w:r>
      <w:r>
        <w:t xml:space="preserve">(173) &amp; N (174) &amp;</w:t>
      </w:r>
      <w:r>
        <w:br w:type="textWrapping"/>
      </w:r>
      <w:r>
        <w:rPr>
          <w:b/>
        </w:rPr>
        <w:t xml:space="preserve">V5558 Sgr</w:t>
      </w:r>
      <w:r>
        <w:t xml:space="preserve"> </w:t>
      </w:r>
      <w:r>
        <w:t xml:space="preserve">&amp; 6.53 (175) &amp; 2454291.5 (175) &amp; 125 (176) &amp; 1000 (177) &amp; 0.80 (178) &amp; 1.6e+22 &amp; &amp; 1.3</w:t>
      </w:r>
      <m:oMath>
        <m:r>
          <m:t>±</m:t>
        </m:r>
        <m:r>
          <m:t>0.3</m:t>
        </m:r>
      </m:oMath>
      <w:r>
        <w:t xml:space="preserve"> </w:t>
      </w:r>
      <w:r>
        <w:t xml:space="preserve">(176) &amp; N (179) &amp;</w:t>
      </w:r>
      <w:r>
        <w:br w:type="textWrapping"/>
      </w:r>
      <w:r>
        <w:rPr>
          <w:b/>
        </w:rPr>
        <w:t xml:space="preserve">V5579 Sgr</w:t>
      </w:r>
      <w:r>
        <w:t xml:space="preserve"> </w:t>
      </w:r>
      <w:r>
        <w:t xml:space="preserve">&amp; 5.56 (180) &amp; 2454579.62 (180) &amp; 7: &amp; 1500 (23) &amp; 1.2 (181) &amp; 3.3e+21 &amp; &amp; &amp; Y (181) &amp;</w:t>
      </w:r>
      <w:r>
        <w:br w:type="textWrapping"/>
      </w:r>
      <w:r>
        <w:rPr>
          <w:b/>
        </w:rPr>
        <w:t xml:space="preserve">V5583 Sgr</w:t>
      </w:r>
      <w:r>
        <w:t xml:space="preserve"> </w:t>
      </w:r>
      <w:r>
        <w:t xml:space="preserve">&amp; 7.43 (182) &amp; 2455051.07 (182) &amp; 5: &amp; 2300 (182) &amp; 0.39 (30) &amp; 2.0e+21 &amp; &amp; 10.5 &amp; &amp;</w:t>
      </w:r>
      <w:r>
        <w:br w:type="textWrapping"/>
      </w:r>
      <w:r>
        <w:rPr>
          <w:b/>
        </w:rPr>
        <w:t xml:space="preserve">V574 Pup</w:t>
      </w:r>
      <w:r>
        <w:t xml:space="preserve"> </w:t>
      </w:r>
      <w:r>
        <w:t xml:space="preserve">&amp; 6.93 (183) &amp; 2453332.22 (183) &amp; 13 (184) &amp; 2800 (184) &amp; 0.5</w:t>
      </w:r>
      <m:oMath>
        <m:r>
          <m:t>±</m:t>
        </m:r>
        <m:r>
          <m:t>0.1</m:t>
        </m:r>
      </m:oMath>
      <w:r>
        <w:t xml:space="preserve"> </w:t>
      </w:r>
      <w:r>
        <w:t xml:space="preserve">&amp; 6.2e+21 &amp; &amp; 6.5</w:t>
      </w:r>
      <m:oMath>
        <m:r>
          <m:t>±</m:t>
        </m:r>
        <m:r>
          <m:t>1</m:t>
        </m:r>
      </m:oMath>
      <w:r>
        <w:t xml:space="preserve"> </w:t>
      </w:r>
      <w:r>
        <w:t xml:space="preserve">&amp; M (185) &amp;</w:t>
      </w:r>
      <w:r>
        <w:br w:type="textWrapping"/>
      </w:r>
      <w:r>
        <w:rPr>
          <w:b/>
        </w:rPr>
        <w:t xml:space="preserve">V597 Pup</w:t>
      </w:r>
      <w:r>
        <w:t xml:space="preserve"> </w:t>
      </w:r>
      <w:r>
        <w:t xml:space="preserve">&amp; 7.0 (186) &amp; 2454418.75 (186) &amp; 3: &amp; 1800 (187) &amp; 0.3 (188) &amp; 5.0e+21 &amp; 0.11119 (189) &amp; &amp; N (188) &amp;</w:t>
      </w:r>
      <w:r>
        <w:br w:type="textWrapping"/>
      </w:r>
      <w:r>
        <w:rPr>
          <w:b/>
        </w:rPr>
        <w:t xml:space="preserve">V598 Pup</w:t>
      </w:r>
      <w:r>
        <w:t xml:space="preserve"> </w:t>
      </w:r>
      <w:r>
        <w:t xml:space="preserve">&amp; 3.46 (14) &amp; 2454257.79 (14) &amp; 9</w:t>
      </w:r>
      <m:oMath>
        <m:r>
          <m:t>±</m:t>
        </m:r>
        <m:r>
          <m:t>1</m:t>
        </m:r>
      </m:oMath>
      <w:r>
        <w:t xml:space="preserve"> </w:t>
      </w:r>
      <w:r>
        <w:t xml:space="preserve">(190) &amp; &amp; 0.16 (190) &amp; 1.4e+21 &amp; &amp; 2.95</w:t>
      </w:r>
      <m:oMath>
        <m:r>
          <m:t>±</m:t>
        </m:r>
        <m:r>
          <m:t>0.8</m:t>
        </m:r>
      </m:oMath>
      <w:r>
        <w:t xml:space="preserve"> </w:t>
      </w:r>
      <w:r>
        <w:t xml:space="preserve">(190) &amp; &amp;</w:t>
      </w:r>
      <w:r>
        <w:br w:type="textWrapping"/>
      </w:r>
      <w:r>
        <w:rPr>
          <w:b/>
        </w:rPr>
        <w:t xml:space="preserve">V679 Car</w:t>
      </w:r>
      <w:r>
        <w:t xml:space="preserve"> </w:t>
      </w:r>
      <w:r>
        <w:t xml:space="preserve">&amp; 7.55 (191) &amp; 2454797.77 (191) &amp; 20: &amp; &amp; &amp; 1.3e+22 &amp; &amp; &amp; &amp;</w:t>
      </w:r>
      <w:r>
        <w:br w:type="textWrapping"/>
      </w:r>
      <w:r>
        <w:rPr>
          <w:b/>
        </w:rPr>
        <w:t xml:space="preserve">V723 Cas</w:t>
      </w:r>
      <w:r>
        <w:t xml:space="preserve"> </w:t>
      </w:r>
      <w:r>
        <w:t xml:space="preserve">&amp; 7.1 (192) &amp; 2450069.0 (192) &amp; 263 (2) &amp; 600 (193) &amp; 0.5 (194) &amp; 2.35e+21 &amp; 0.69 (195) &amp; 3.86</w:t>
      </w:r>
      <m:oMath>
        <m:r>
          <m:t>±</m:t>
        </m:r>
        <m:r>
          <m:t>0.23</m:t>
        </m:r>
      </m:oMath>
      <w:r>
        <w:t xml:space="preserve"> </w:t>
      </w:r>
      <w:r>
        <w:t xml:space="preserve">(196) &amp; N &amp;</w:t>
      </w:r>
      <w:r>
        <w:br w:type="textWrapping"/>
      </w:r>
      <w:r>
        <w:t xml:space="preserve">V838 Her &amp; 5 (197) &amp; 2448340.5 (197) &amp; 2 (198) &amp; &amp; 0.5</w:t>
      </w:r>
      <m:oMath>
        <m:r>
          <m:t>±</m:t>
        </m:r>
        <m:r>
          <m:t>0.1</m:t>
        </m:r>
      </m:oMath>
      <w:r>
        <w:t xml:space="preserve"> </w:t>
      </w:r>
      <w:r>
        <w:t xml:space="preserve">(198) &amp; 2.6e+21 &amp; 0.2975 (199) &amp; 3</w:t>
      </w:r>
      <m:oMath>
        <m:r>
          <m:t>±</m:t>
        </m:r>
        <m:r>
          <m:t>1</m:t>
        </m:r>
      </m:oMath>
      <w:r>
        <w:t xml:space="preserve"> </w:t>
      </w:r>
      <w:r>
        <w:t xml:space="preserve">(198) &amp; Y (200) &amp;</w:t>
      </w:r>
      <w:r>
        <w:br w:type="textWrapping"/>
      </w:r>
      <w:r>
        <w:rPr>
          <w:b/>
        </w:rPr>
        <w:t xml:space="preserve">XMMSL1 J06</w:t>
      </w:r>
      <w:r>
        <w:t xml:space="preserve"> </w:t>
      </w:r>
      <w:r>
        <w:t xml:space="preserve">&amp; 12 (201) &amp; 2453643.5 (202) &amp; 8</w:t>
      </w:r>
      <m:oMath>
        <m:r>
          <m:t>±</m:t>
        </m:r>
        <m:r>
          <m:t>2</m:t>
        </m:r>
      </m:oMath>
      <w:r>
        <w:t xml:space="preserve"> </w:t>
      </w:r>
      <w:r>
        <w:t xml:space="preserve">(202) &amp; &amp; 0.15 (203) &amp; 8.7e+20 &amp; &amp; 50 &amp; &amp;</w:t>
      </w:r>
      <w:r>
        <w:br w:type="textWrapping"/>
      </w:r>
    </w:p>
    <w:p>
      <w:pPr>
        <w:pStyle w:val="Heading1"/>
      </w:pPr>
      <w:bookmarkStart w:id="43" w:name="references"/>
      <w:bookmarkEnd w:id="43"/>
      <w:r>
        <w:t xml:space="preserve">References</w:t>
      </w:r>
    </w:p>
    <w:p>
      <w:pPr>
        <w:pStyle w:val="FirstParagraph"/>
      </w:pPr>
      <w:r>
        <w:t xml:space="preserve">Lamport, L. 1994.</w:t>
      </w:r>
      <w:r>
        <w:t xml:space="preserve"> </w:t>
      </w:r>
      <w:r>
        <w:t xml:space="preserve">“</w:t>
      </w:r>
      <w:r>
        <w:t xml:space="preserve">Latex: A Document Preparation System, 2nd Edition (Boston, Addison-Wesley Professional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1989.</w:t>
      </w:r>
    </w:p>
    <w:p>
      <w:pPr>
        <w:pStyle w:val="BodyText"/>
      </w:pPr>
      <w:r>
        <w:t xml:space="preserve">2011.</w:t>
      </w:r>
    </w:p>
    <w:p>
      <w:pPr>
        <w:pStyle w:val="BodyText"/>
      </w:pPr>
      <w:r>
        <w:t xml:space="preserve">2014.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3">
        <w:r>
          <w:rPr>
            <w:rStyle w:val="Hyperlink"/>
          </w:rPr>
          <w:t xml:space="preserve">http://www.latex-project.org/</w:t>
        </w:r>
      </w:hyperlink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see Section ??? in the Appendix for more details</w:t>
      </w:r>
      <w:r>
        <w:t xml:space="preserve"> </w:t>
      </w:r>
      <w:r>
        <w:t xml:space="preserve">about how current article costs are calculated.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9074a2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2" Target="media/rId32.png" /><Relationship Type="http://schemas.openxmlformats.org/officeDocument/2006/relationships/image" Id="rId31" Target="media/rId31.png" /><Relationship Type="http://schemas.openxmlformats.org/officeDocument/2006/relationships/image" Id="rId35" Target="media/rId35.jpg" /><Relationship Type="http://schemas.openxmlformats.org/officeDocument/2006/relationships/hyperlink" Id="rId33" Target="http://authortools.aas.org/FIGSETS/make-figset.html" TargetMode="External" /><Relationship Type="http://schemas.openxmlformats.org/officeDocument/2006/relationships/hyperlink" Id="rId29" Target="http://authortools.aas.org/MRT/upload.html" TargetMode="External" /><Relationship Type="http://schemas.openxmlformats.org/officeDocument/2006/relationships/hyperlink" Id="rId25" Target="http://journals.aas.org/authors/aastex.html" TargetMode="External" /><Relationship Type="http://schemas.openxmlformats.org/officeDocument/2006/relationships/hyperlink" Id="rId23" Target="http://www.latex-project.org/" TargetMode="External" /><Relationship Type="http://schemas.openxmlformats.org/officeDocument/2006/relationships/hyperlink" Id="rId39" Target="https://github.com/AASJournals/Tutorials/tree/master/Repositor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://authortools.aas.org/FIGSETS/make-figset.html" TargetMode="External" /><Relationship Type="http://schemas.openxmlformats.org/officeDocument/2006/relationships/hyperlink" Id="rId29" Target="http://authortools.aas.org/MRT/upload.html" TargetMode="External" /><Relationship Type="http://schemas.openxmlformats.org/officeDocument/2006/relationships/hyperlink" Id="rId25" Target="http://journals.aas.org/authors/aastex.html" TargetMode="External" /><Relationship Type="http://schemas.openxmlformats.org/officeDocument/2006/relationships/hyperlink" Id="rId23" Target="http://www.latex-project.org/" TargetMode="External" /><Relationship Type="http://schemas.openxmlformats.org/officeDocument/2006/relationships/hyperlink" Id="rId39" Target="https://github.com/AASJournals/Tutorials/tree/master/Repositor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AASTex (v6.1) example article for Authorea</dc:title>
  <dc:creator>Hyunki Min</dc:creator>
  <dcterms:created xsi:type="dcterms:W3CDTF">2018-11-02T19:03:16Z</dcterms:created>
  <dcterms:modified xsi:type="dcterms:W3CDTF">2018-11-02T19:03:16Z</dcterms:modified>
</cp:coreProperties>
</file>