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Mis</w:t>
      </w:r>
      <w:r>
        <w:t xml:space="preserve"> </w:t>
      </w:r>
      <w:r>
        <w:t xml:space="preserve">Quarterly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Yulyardo</w:t>
      </w:r>
      <w:r>
        <w:t xml:space="preserve"> </w:t>
      </w:r>
      <w:r>
        <w:t xml:space="preserve">Oey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and Brownstein, J. S. 2017.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,</w:t>
      </w:r>
      <w:r>
        <w:t xml:space="preserve">”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(9).</w:t>
      </w:r>
    </w:p>
    <w:p>
      <w:pPr>
        <w:pStyle w:val="BodyText"/>
      </w:pPr>
      <w:r>
        <w:t xml:space="preserve">Zhou, J., Xue, Z., Du, Z., Melese, T., and Boyer, P. D.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</w:t>
      </w:r>
      <w:r>
        <w:t xml:space="preserve">”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(27:14), American Chemical Society (</w:t>
      </w:r>
      <w:r>
        <w:t xml:space="preserve">ACS</w:t>
      </w:r>
      <w:r>
        <w:t xml:space="preserve">), pp. 5129–5135 (doi: 10.1021/bi00414a027).</w:t>
      </w:r>
    </w:p>
    <w:p>
      <w:pPr>
        <w:pStyle w:val="BodyText"/>
      </w:pPr>
      <w:r>
        <w:t xml:space="preserve">Boyer, P.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</w:t>
      </w:r>
      <w:r>
        <w:t xml:space="preserve">”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(37:17), Wiley-Blackwell, pp. 2296–2307 (doi: 10.1002/(sici)1521-3773(19980918)37:17&lt;2296::aid-anie2296&gt;3.0.co;2-w).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742d2e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Quarterly Template</dc:title>
  <dc:creator>Yulyardo Oey</dc:creator>
  <dcterms:created xsi:type="dcterms:W3CDTF">2018-10-03T14:34:58Z</dcterms:created>
  <dcterms:modified xsi:type="dcterms:W3CDTF">2018-10-03T14:34:58Z</dcterms:modified>
</cp:coreProperties>
</file>