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5.png" ContentType="image/png"/>
  <Override PartName="/word/media/rId37.png" ContentType="image/png"/>
  <Override PartName="/word/media/rId39.png" ContentType="image/png"/>
  <Override PartName="/word/media/rId3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Design</w:t>
      </w:r>
      <w:r>
        <w:t xml:space="preserve"> </w:t>
      </w:r>
      <w:r>
        <w:t xml:space="preserve">of</w:t>
      </w:r>
      <w:r>
        <w:t xml:space="preserve"> </w:t>
      </w:r>
      <w:r>
        <w:t xml:space="preserve">experiments:</w:t>
      </w:r>
      <w:r>
        <w:t xml:space="preserve"> </w:t>
      </w:r>
      <w:r>
        <w:t xml:space="preserve">optimisation</w:t>
      </w:r>
      <w:r>
        <w:t xml:space="preserve"> </w:t>
      </w:r>
      <w:r>
        <w:t xml:space="preserve">of</w:t>
      </w:r>
      <w:r>
        <w:t xml:space="preserve"> </w:t>
      </w:r>
      <w:r>
        <w:t xml:space="preserve">an</w:t>
      </w:r>
      <w:r>
        <w:t xml:space="preserve"> </w:t>
      </w:r>
      <w:r>
        <w:t xml:space="preserve">ITO</w:t>
      </w:r>
      <w:r>
        <w:t xml:space="preserve"> </w:t>
      </w:r>
      <w:r>
        <w:t xml:space="preserve">sputtering</w:t>
      </w:r>
      <w:r>
        <w:t xml:space="preserve"> </w:t>
      </w:r>
      <w:r>
        <w:t xml:space="preserve">recipe</w:t>
      </w:r>
    </w:p>
    <w:p>
      <w:pPr>
        <w:pStyle w:val="Author"/>
      </w:pPr>
      <w:r>
        <w:t xml:space="preserve">Florent-Valéry</w:t>
      </w:r>
      <w:r>
        <w:t xml:space="preserve"> </w:t>
      </w:r>
      <w:r>
        <w:t xml:space="preserve">Coen</w:t>
      </w:r>
    </w:p>
    <w:p>
      <w:pPr>
        <w:pStyle w:val="Author"/>
      </w:pPr>
      <w:r>
        <w:t xml:space="preserve">Damien</w:t>
      </w:r>
      <w:r>
        <w:t xml:space="preserve"> </w:t>
      </w:r>
      <w:r>
        <w:t xml:space="preserve">Maillard</w:t>
      </w:r>
    </w:p>
    <w:p>
      <w:pPr>
        <w:pStyle w:val="Author"/>
      </w:pPr>
      <w:r>
        <w:t xml:space="preserve">Matthias</w:t>
      </w:r>
      <w:r>
        <w:t xml:space="preserve"> </w:t>
      </w:r>
      <w:r>
        <w:t xml:space="preserve">Neuenschwander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2" w:name="multimodal-stimulation-of-the-nervous-system"/>
      <w:bookmarkEnd w:id="22"/>
      <w:r>
        <w:t xml:space="preserve">Multimodal stimulation of the nervous</w:t>
      </w:r>
      <w:r>
        <w:t xml:space="preserve"> </w:t>
      </w:r>
      <w:r>
        <w:t xml:space="preserve">system</w:t>
      </w:r>
    </w:p>
    <w:p>
      <w:pPr>
        <w:pStyle w:val="FirstParagraph"/>
      </w:pPr>
      <w:r>
        <w:br w:type="textWrapping"/>
      </w:r>
      <w:r>
        <w:t xml:space="preserve">The human nervous system is among the most complex biological structures</w:t>
      </w:r>
      <w:r>
        <w:t xml:space="preserve"> </w:t>
      </w:r>
      <w:r>
        <w:t xml:space="preserve">on this planet. The brain alone is composed of tens of billions of</w:t>
      </w:r>
      <w:r>
        <w:t xml:space="preserve"> </w:t>
      </w:r>
      <w:r>
        <w:t xml:space="preserve">neurons (Pakkenberg and Gundersen 1988) and is solely responsible for coordinating</w:t>
      </w:r>
      <w:r>
        <w:t xml:space="preserve"> </w:t>
      </w:r>
      <w:r>
        <w:t xml:space="preserve">the behavioral responses to the sensory inputs of the body. As a result,</w:t>
      </w:r>
      <w:r>
        <w:t xml:space="preserve"> </w:t>
      </w:r>
      <w:r>
        <w:t xml:space="preserve">it became apparent early on in the field of neuroscience, that the</w:t>
      </w:r>
      <w:r>
        <w:t xml:space="preserve"> </w:t>
      </w:r>
      <w:r>
        <w:t xml:space="preserve">ability to selectively interrogate a population of neurons would be the</w:t>
      </w:r>
      <w:r>
        <w:t xml:space="preserve"> </w:t>
      </w:r>
      <w:r>
        <w:t xml:space="preserve">key element in understanding and controlling the nervous</w:t>
      </w:r>
      <w:r>
        <w:t xml:space="preserve"> </w:t>
      </w:r>
      <w:r>
        <w:t xml:space="preserve">system (Crick 1979).</w:t>
      </w:r>
    </w:p>
    <w:p>
      <w:pPr>
        <w:pStyle w:val="BodyText"/>
      </w:pPr>
      <w:r>
        <w:br w:type="textWrapping"/>
      </w:r>
      <w:r>
        <w:t xml:space="preserve">Over the years, researchers have devised numerous methods to interact</w:t>
      </w:r>
      <w:r>
        <w:t xml:space="preserve"> </w:t>
      </w:r>
      <w:r>
        <w:t xml:space="preserve">with neural tissues such as electrical and chemical stimuli and, more</w:t>
      </w:r>
      <w:r>
        <w:t xml:space="preserve"> </w:t>
      </w:r>
      <w:r>
        <w:t xml:space="preserve">recently, through mechanical and optical means. Each of these methods</w:t>
      </w:r>
      <w:r>
        <w:t xml:space="preserve"> </w:t>
      </w:r>
      <w:r>
        <w:t xml:space="preserve">has its limitation, particularly when it comes to selectivity. In that</w:t>
      </w:r>
      <w:r>
        <w:t xml:space="preserve"> </w:t>
      </w:r>
      <w:r>
        <w:t xml:space="preserve">regard, neuroscientist typically discriminate between three types of</w:t>
      </w:r>
      <w:r>
        <w:t xml:space="preserve"> </w:t>
      </w:r>
      <w:r>
        <w:t xml:space="preserve">selectivity (figure):</w:t>
      </w:r>
    </w:p>
    <w:p>
      <w:pPr>
        <w:numPr>
          <w:numId w:val="1001"/>
          <w:ilvl w:val="0"/>
        </w:numPr>
      </w:pPr>
      <w:r>
        <w:t xml:space="preserve">Spacial selectivity, which refers to the ability to stimulate a</w:t>
      </w:r>
      <w:r>
        <w:t xml:space="preserve"> </w:t>
      </w:r>
      <w:r>
        <w:t xml:space="preserve">specific volume of tissue. </w:t>
      </w:r>
    </w:p>
    <w:p>
      <w:pPr>
        <w:numPr>
          <w:numId w:val="1001"/>
          <w:ilvl w:val="0"/>
        </w:numPr>
      </w:pPr>
      <w:r>
        <w:t xml:space="preserve">Structural selectivity which describes the capability to stimulate</w:t>
      </w:r>
      <w:r>
        <w:t xml:space="preserve"> </w:t>
      </w:r>
      <w:r>
        <w:t xml:space="preserve">specific structure within a neuron, such as neuronal somata or fibers</w:t>
      </w:r>
      <w:r>
        <w:t xml:space="preserve"> </w:t>
      </w:r>
      <w:r>
        <w:t xml:space="preserve">of passage. </w:t>
      </w:r>
    </w:p>
    <w:p>
      <w:pPr>
        <w:numPr>
          <w:numId w:val="1001"/>
          <w:ilvl w:val="0"/>
        </w:numPr>
      </w:pPr>
      <w:r>
        <w:t xml:space="preserve">Cell-type selectivity relates to the ability to discriminate between</w:t>
      </w:r>
      <w:r>
        <w:t xml:space="preserve"> </w:t>
      </w:r>
      <w:r>
        <w:t xml:space="preserve">neuronal types, a particularly interesting proposition as it would</w:t>
      </w:r>
      <w:r>
        <w:t xml:space="preserve"> </w:t>
      </w:r>
      <w:r>
        <w:t xml:space="preserve">allow to activate only a specific function within a complex network of</w:t>
      </w:r>
      <w:r>
        <w:t xml:space="preserve"> </w:t>
      </w:r>
      <w:r>
        <w:t xml:space="preserve">neurons.</w:t>
      </w:r>
    </w:p>
    <w:p>
      <w:pPr>
        <w:pStyle w:val="FirstParagraph"/>
      </w:pPr>
      <w:r>
        <w:t xml:space="preserve">At the LSBI we aim to fabricate so-called multimodal devices, that is,</w:t>
      </w:r>
      <w:r>
        <w:t xml:space="preserve"> </w:t>
      </w:r>
      <w:r>
        <w:t xml:space="preserve">neural implants capable of stimulating the nervous system through</w:t>
      </w:r>
      <w:r>
        <w:t xml:space="preserve"> </w:t>
      </w:r>
      <w:r>
        <w:t xml:space="preserve">multiple methods, in a simultaneous and collocal fashion. We thus hope</w:t>
      </w:r>
      <w:r>
        <w:t xml:space="preserve"> </w:t>
      </w:r>
      <w:r>
        <w:t xml:space="preserve">to improve the selectivity of the combined stimulation and,</w:t>
      </w:r>
      <w:r>
        <w:t xml:space="preserve"> </w:t>
      </w:r>
      <w:r>
        <w:t xml:space="preserve">consequently, to improve our ability to study and control nervous</w:t>
      </w:r>
      <w:r>
        <w:t xml:space="preserve"> </w:t>
      </w:r>
      <w:r>
        <w:t xml:space="preserve">tissues. In particular, we are interested in designing an implant that</w:t>
      </w:r>
      <w:r>
        <w:t xml:space="preserve"> </w:t>
      </w:r>
      <w:r>
        <w:t xml:space="preserve">would incorporate electrical and optical capabilities at the exact same</w:t>
      </w:r>
      <w:r>
        <w:t xml:space="preserve"> </w:t>
      </w:r>
      <w:r>
        <w:t xml:space="preserve">location. In our current prototype, such a feature is realized by</w:t>
      </w:r>
      <w:r>
        <w:t xml:space="preserve"> </w:t>
      </w:r>
      <w:r>
        <w:t xml:space="preserve">placing microLEDs behind transparent electrodes. </w:t>
      </w:r>
    </w:p>
    <w:p>
      <w:pPr>
        <w:pStyle w:val="BodyText"/>
      </w:pPr>
      <w:r>
        <w:br w:type="textWrapping"/>
      </w:r>
      <w:r>
        <w:t xml:space="preserve">The selection of the material used for the electrodes is critical as we</w:t>
      </w:r>
      <w:r>
        <w:t xml:space="preserve"> </w:t>
      </w:r>
      <w:r>
        <w:t xml:space="preserve">thrive to maximize both the amount of electrical charges and light</w:t>
      </w:r>
      <w:r>
        <w:t xml:space="preserve"> </w:t>
      </w:r>
      <w:r>
        <w:t xml:space="preserve">injected in the tissue. At the current stage of research, we use a</w:t>
      </w:r>
      <w:r>
        <w:t xml:space="preserve"> </w:t>
      </w:r>
      <w:r>
        <w:t xml:space="preserve">ceramic called Indium Tin Oxide. This material was recently introduced</w:t>
      </w:r>
      <w:r>
        <w:t xml:space="preserve"> </w:t>
      </w:r>
      <w:r>
        <w:t xml:space="preserve">in the cleanroom facility of Campus Biotech (Geneva) and as such, its</w:t>
      </w:r>
      <w:r>
        <w:t xml:space="preserve"> </w:t>
      </w:r>
      <w:r>
        <w:t xml:space="preserve">deposition method has yet to be tuned for optimal performances of the</w:t>
      </w:r>
      <w:r>
        <w:t xml:space="preserve"> </w:t>
      </w:r>
      <w:r>
        <w:t xml:space="preserve">final film. With this project, we aimed at addressing this shortcoming</w:t>
      </w:r>
      <w:r>
        <w:t xml:space="preserve"> </w:t>
      </w:r>
      <w:r>
        <w:t xml:space="preserve">by optimizing the deposition parameters of the machine used to form</w:t>
      </w:r>
      <w:r>
        <w:t xml:space="preserve"> </w:t>
      </w:r>
      <w:r>
        <w:t xml:space="preserve">Indium Tin Oxide.</w:t>
      </w:r>
    </w:p>
    <w:p>
      <w:pPr>
        <w:pStyle w:val="Heading2"/>
      </w:pPr>
      <w:bookmarkStart w:id="23" w:name="section"/>
      <w:bookmarkEnd w:id="23"/>
    </w:p>
    <w:p>
      <w:pPr>
        <w:pStyle w:val="Heading2"/>
      </w:pPr>
      <w:bookmarkStart w:id="24" w:name="indium-tin-oxide"/>
      <w:bookmarkEnd w:id="24"/>
      <w:r>
        <w:t xml:space="preserve">Indium Tin Oxide</w:t>
      </w:r>
    </w:p>
    <w:p>
      <w:pPr>
        <w:pStyle w:val="FirstParagraph"/>
      </w:pPr>
      <w:r>
        <w:t xml:space="preserve">Indium-tin-oxide (ITO) has long been the center of growing attention because of its exciting and attractive properties. Its relatively low electrical resistivity (2-4e-4 [</w:t>
      </w:r>
      <m:oMath>
        <m:r>
          <m:t>Ω</m:t>
        </m:r>
      </m:oMath>
      <w:r>
        <w:t xml:space="preserve"> </w:t>
      </w:r>
      <w:r>
        <w:t xml:space="preserve">cm]) combined with high optical transmittance (</w:t>
      </w:r>
      <m:oMath>
        <m:r>
          <m:t>&gt;</m:t>
        </m:r>
      </m:oMath>
      <w:r>
        <w:t xml:space="preserve">85%) make it a material of choice in both research institutes and industry (Kim et al. 1999).</w:t>
      </w:r>
    </w:p>
    <w:p>
      <w:pPr>
        <w:pStyle w:val="BodyText"/>
      </w:pPr>
      <w:r>
        <w:t xml:space="preserve">For example, ITO films have long found applications in solar cells. As</w:t>
      </w:r>
      <w:r>
        <w:t xml:space="preserve"> </w:t>
      </w:r>
      <w:r>
        <w:t xml:space="preserve">early as 1978, Cheek et al. showed the fabrication and characterization</w:t>
      </w:r>
      <w:r>
        <w:t xml:space="preserve"> </w:t>
      </w:r>
      <w:r>
        <w:t xml:space="preserve">of ITO/polycrystalline silicon solar cells using ion-beam sputtering</w:t>
      </w:r>
      <w:r>
        <w:t xml:space="preserve"> </w:t>
      </w:r>
      <w:r>
        <w:t xml:space="preserve">techniques (Cheek et al. 1978). A few years later, Saim and Campbell</w:t>
      </w:r>
      <w:r>
        <w:t xml:space="preserve"> </w:t>
      </w:r>
      <w:r>
        <w:t xml:space="preserve">presented a fabrication technique based on conventional thick film</w:t>
      </w:r>
      <w:r>
        <w:t xml:space="preserve"> </w:t>
      </w:r>
      <w:r>
        <w:t xml:space="preserve">printing methods. The ITO film was used here not only as a conducting</w:t>
      </w:r>
      <w:r>
        <w:t xml:space="preserve"> </w:t>
      </w:r>
      <w:r>
        <w:t xml:space="preserve">surface layer, but also as an anti-reflective</w:t>
      </w:r>
      <w:r>
        <w:t xml:space="preserve"> </w:t>
      </w:r>
      <w:r>
        <w:t xml:space="preserve">coating (Saim and Campbell 1987). More recently, ITO has also been used as a</w:t>
      </w:r>
      <w:r>
        <w:t xml:space="preserve"> </w:t>
      </w:r>
      <w:r>
        <w:t xml:space="preserve">semiconductor material in solar cells (Yu et al. 2016).</w:t>
      </w:r>
    </w:p>
    <w:p>
      <w:pPr>
        <w:pStyle w:val="BodyText"/>
      </w:pPr>
      <w:r>
        <w:br w:type="textWrapping"/>
      </w:r>
      <w:r>
        <w:t xml:space="preserve">Galstian et al. developed a electrically tunable liquid crystal</w:t>
      </w:r>
      <w:r>
        <w:t xml:space="preserve"> </w:t>
      </w:r>
      <w:r>
        <w:t xml:space="preserve">autofocus lens. To achieve electrical contact while keeping optical</w:t>
      </w:r>
      <w:r>
        <w:t xml:space="preserve"> </w:t>
      </w:r>
      <w:r>
        <w:t xml:space="preserve">transmittance at its best, the lens needs to be coated with transparent</w:t>
      </w:r>
      <w:r>
        <w:t xml:space="preserve"> </w:t>
      </w:r>
      <w:r>
        <w:t xml:space="preserve">electrodes. Indium-tin-oxide is thus the ideal material for this</w:t>
      </w:r>
      <w:r>
        <w:t xml:space="preserve"> </w:t>
      </w:r>
      <w:r>
        <w:t xml:space="preserve">application (Galstian et al. 2017).</w:t>
      </w:r>
    </w:p>
    <w:p>
      <w:pPr>
        <w:pStyle w:val="BodyText"/>
      </w:pPr>
      <w:r>
        <w:br w:type="textWrapping"/>
      </w:r>
      <w:r>
        <w:t xml:space="preserve">Since the 1990s, ITO thin films were also found in liquid-crystal</w:t>
      </w:r>
      <w:r>
        <w:t xml:space="preserve"> </w:t>
      </w:r>
      <w:r>
        <w:t xml:space="preserve">displays (Ishibashi et al. 1990; Sawada et al. 2001), where they are used to form the transparent</w:t>
      </w:r>
      <w:r>
        <w:t xml:space="preserve"> </w:t>
      </w:r>
      <w:r>
        <w:t xml:space="preserve">electrodes necessary to the realization of high resolution flat panel.</w:t>
      </w:r>
      <w:r>
        <w:t xml:space="preserve"> </w:t>
      </w:r>
      <w:r>
        <w:t xml:space="preserve">This is precisely the time of use case we want to mimic.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methods"/>
      <w:bookmarkEnd w:id="25"/>
      <w:r>
        <w:t xml:space="preserve">Methods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6" w:name="deposition"/>
      <w:bookmarkEnd w:id="26"/>
      <w:r>
        <w:t xml:space="preserve">Deposition</w:t>
      </w:r>
    </w:p>
    <w:p>
      <w:pPr>
        <w:pStyle w:val="FirstParagraph"/>
      </w:pPr>
      <w:r>
        <w:br w:type="textWrapping"/>
      </w:r>
      <w:r>
        <w:t xml:space="preserve">The ITO films were formed using a commercial sputtering system (Alliance</w:t>
      </w:r>
      <w:r>
        <w:t xml:space="preserve"> </w:t>
      </w:r>
      <w:r>
        <w:t xml:space="preserve">Concept AC450). Sputtering is a deposition technique in which a target</w:t>
      </w:r>
      <w:r>
        <w:t xml:space="preserve"> </w:t>
      </w:r>
      <w:r>
        <w:t xml:space="preserve">material is bombarded with the highly energetic ions from a plasma,</w:t>
      </w:r>
      <w:r>
        <w:t xml:space="preserve"> </w:t>
      </w:r>
      <w:r>
        <w:t xml:space="preserve">leading to the ejection of atoms toward a sample. On the AC450, the</w:t>
      </w:r>
      <w:r>
        <w:t xml:space="preserve"> </w:t>
      </w:r>
      <w:r>
        <w:t xml:space="preserve">quality of the resulting film can be controlled via six parameters</w:t>
      </w:r>
      <w:r>
        <w:t xml:space="preserve"> </w:t>
      </w:r>
      <w:r>
        <w:t xml:space="preserve">(Table</w:t>
      </w:r>
      <w:r>
        <w:t xml:space="preserve"> </w:t>
      </w:r>
      <w:r>
        <w:t xml:space="preserve">???</w:t>
      </w:r>
      <w:r>
        <w:t xml:space="preserve">):</w:t>
      </w:r>
    </w:p>
    <w:p>
      <w:pPr>
        <w:pStyle w:val="BodyText"/>
      </w:pPr>
      <w:r>
        <w:br w:type="textWrapping"/>
      </w:r>
    </w:p>
    <w:p>
      <w:pPr>
        <w:numPr>
          <w:numId w:val="1002"/>
          <w:ilvl w:val="0"/>
        </w:numPr>
      </w:pPr>
      <w:r>
        <w:t xml:space="preserve">The electrical field applied between the target material and the chuck</w:t>
      </w:r>
      <w:r>
        <w:t xml:space="preserve"> </w:t>
      </w:r>
      <w:r>
        <w:t xml:space="preserve">holding the sample. The strength and nature of the field are</w:t>
      </w:r>
      <w:r>
        <w:t xml:space="preserve"> </w:t>
      </w:r>
      <w:r>
        <w:t xml:space="preserve">controlled by the power values of its DC and RF components.</w:t>
      </w:r>
    </w:p>
    <w:p>
      <w:pPr>
        <w:numPr>
          <w:numId w:val="1002"/>
          <w:ilvl w:val="0"/>
        </w:numPr>
      </w:pPr>
      <w:r>
        <w:t xml:space="preserve">The base pressure, i.e. the quality of the vacuum inside the chamber</w:t>
      </w:r>
      <w:r>
        <w:t xml:space="preserve"> </w:t>
      </w:r>
      <w:r>
        <w:t xml:space="preserve">at the start of the sputtering phase.</w:t>
      </w:r>
    </w:p>
    <w:p>
      <w:pPr>
        <w:numPr>
          <w:numId w:val="1002"/>
          <w:ilvl w:val="0"/>
        </w:numPr>
      </w:pPr>
      <w:r>
        <w:t xml:space="preserve">The temperature of the chuck holding the sample.</w:t>
      </w:r>
    </w:p>
    <w:p>
      <w:pPr>
        <w:numPr>
          <w:numId w:val="1002"/>
          <w:ilvl w:val="0"/>
        </w:numPr>
      </w:pPr>
      <w:r>
        <w:t xml:space="preserve">The distance between the target and the chuck holding the sample</w:t>
      </w:r>
      <w:r>
        <w:t xml:space="preserve"> </w:t>
      </w:r>
      <w:r>
        <w:t xml:space="preserve">during the deposition.</w:t>
      </w:r>
    </w:p>
    <w:p>
      <w:pPr>
        <w:numPr>
          <w:numId w:val="1002"/>
          <w:ilvl w:val="0"/>
        </w:numPr>
      </w:pPr>
      <w:r>
        <w:t xml:space="preserve">The argon flow fed inside the chamber and used to create and sustain</w:t>
      </w:r>
      <w:r>
        <w:t xml:space="preserve"> </w:t>
      </w:r>
      <w:r>
        <w:t xml:space="preserve">the plasma.</w:t>
      </w:r>
    </w:p>
    <w:p>
      <w:pPr>
        <w:numPr>
          <w:numId w:val="1002"/>
          <w:ilvl w:val="0"/>
        </w:numPr>
      </w:pPr>
      <w:r>
        <w:t xml:space="preserve">The oxygen flow fed inside the chamber. Not only are the oxygen atoms</w:t>
      </w:r>
      <w:r>
        <w:t xml:space="preserve"> </w:t>
      </w:r>
      <w:r>
        <w:t xml:space="preserve">used to generate the plasma, they also contribute to the creation of</w:t>
      </w:r>
      <w:r>
        <w:t xml:space="preserve"> </w:t>
      </w:r>
      <w:r>
        <w:t xml:space="preserve">defect inside the ITO lattice - this is the main mechanism through</w:t>
      </w:r>
      <w:r>
        <w:t xml:space="preserve"> </w:t>
      </w:r>
      <w:r>
        <w:t xml:space="preserve">which ITO is made conductive.</w:t>
      </w:r>
    </w:p>
    <w:p>
      <w:pPr>
        <w:pStyle w:val="FirstParagraph"/>
      </w:pPr>
      <w:r>
        <w:t xml:space="preserve">For this project, we decided to limit our investigation to five</w:t>
      </w:r>
      <w:r>
        <w:t xml:space="preserve"> </w:t>
      </w:r>
      <w:r>
        <w:t xml:space="preserve">parameters by keeping the distance between the target and the chuck</w:t>
      </w:r>
      <w:r>
        <w:t xml:space="preserve"> </w:t>
      </w:r>
      <w:r>
        <w:t xml:space="preserve">constant across all experiments. We also chose to keep the RF component</w:t>
      </w:r>
      <w:r>
        <w:t xml:space="preserve"> </w:t>
      </w:r>
      <w:r>
        <w:t xml:space="preserve">of the electric field null and to only vary the value of the DC power.</w:t>
      </w:r>
      <w:r>
        <w:t xml:space="preserve"> </w:t>
      </w:r>
      <w:r>
        <w:t xml:space="preserve">This last decision was made based on the fact that DC recipes naturally</w:t>
      </w:r>
      <w:r>
        <w:t xml:space="preserve"> </w:t>
      </w:r>
      <w:r>
        <w:t xml:space="preserve">lead to faster deposition rates and thus faster turnaround, a critical</w:t>
      </w:r>
      <w:r>
        <w:t xml:space="preserve"> </w:t>
      </w:r>
      <w:r>
        <w:t xml:space="preserve">consideration during the prototyping phase of a device.</w:t>
      </w:r>
    </w:p>
    <w:p>
      <w:pPr>
        <w:pStyle w:val="BodyText"/>
      </w:pPr>
      <w:r>
        <w:br w:type="textWrapping"/>
      </w:r>
      <w:r>
        <w:t xml:space="preserve">In order to ensure that the quantity of deposited material would be</w:t>
      </w:r>
      <w:r>
        <w:t xml:space="preserve"> </w:t>
      </w:r>
      <w:r>
        <w:t xml:space="preserve">sufficient for the characterization process, we set a target thickness</w:t>
      </w:r>
      <w:r>
        <w:t xml:space="preserve"> </w:t>
      </w:r>
      <w:r>
        <w:t xml:space="preserve">of 100nm. We thus started our investigation by assessing the deposition</w:t>
      </w:r>
      <w:r>
        <w:t xml:space="preserve"> </w:t>
      </w:r>
      <w:r>
        <w:t xml:space="preserve">rate for each set of parameters during a series of calibration runs. To</w:t>
      </w:r>
      <w:r>
        <w:t xml:space="preserve"> </w:t>
      </w:r>
      <w:r>
        <w:t xml:space="preserve">do so, we ran each recipe for 10 minutes, before measuring the resulting</w:t>
      </w:r>
      <w:r>
        <w:t xml:space="preserve"> </w:t>
      </w:r>
      <w:r>
        <w:t xml:space="preserve">film thickness using an atomic force microscope (AFM). Based on these</w:t>
      </w:r>
      <w:r>
        <w:t xml:space="preserve"> </w:t>
      </w:r>
      <w:r>
        <w:t xml:space="preserve">measurements, we were able to estimate each deposition rate, which we</w:t>
      </w:r>
      <w:r>
        <w:t xml:space="preserve"> </w:t>
      </w:r>
      <w:r>
        <w:t xml:space="preserve">then used to compute an appropriate deposition time for the</w:t>
      </w:r>
      <w:r>
        <w:t xml:space="preserve"> </w:t>
      </w:r>
      <w:r>
        <w:t xml:space="preserve">characterization samples.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TableCaption"/>
      </w:pPr>
      <w:r>
        <w:t xml:space="preserve"> </w:t>
      </w:r>
      <w:r>
        <w:t xml:space="preserve">Experiment parameters: maximum and minimum values for all considered parameters.</w:t>
      </w:r>
    </w:p>
    <w:tbl>
      <w:tblPr>
        <w:tblStyle w:val="TableNormal"/>
        <w:tblW w:type="pct" w:w="0.0"/>
        <w:tblLook/>
        <w:tblCaption w:val=" Experiment parameters: maximum and minimum values for all considered parameters.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1: Argon</w:t>
            </w:r>
          </w:p>
        </w:tc>
        <w:tc>
          <w:p>
            <w:pPr>
              <w:pStyle w:val="Compact"/>
              <w:jc w:val="center"/>
            </w:pPr>
            <w:r>
              <w:t xml:space="preserve">2: Oxygen</w:t>
            </w:r>
          </w:p>
        </w:tc>
        <w:tc>
          <w:p>
            <w:pPr>
              <w:pStyle w:val="Compact"/>
              <w:jc w:val="center"/>
            </w:pPr>
            <w:r>
              <w:t xml:space="preserve">3: Temperature</w:t>
            </w:r>
          </w:p>
        </w:tc>
        <w:tc>
          <w:p>
            <w:pPr>
              <w:pStyle w:val="Compact"/>
              <w:jc w:val="center"/>
            </w:pPr>
            <w:r>
              <w:t xml:space="preserve">4: DC Power</w:t>
            </w:r>
          </w:p>
        </w:tc>
        <w:tc>
          <w:p>
            <w:pPr>
              <w:pStyle w:val="Compact"/>
              <w:jc w:val="center"/>
            </w:pPr>
            <w:r>
              <w:t xml:space="preserve">5: Pressure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m:oMath>
              <m:r>
                <m:t>s</m:t>
              </m:r>
              <m:r>
                <m:t>c</m:t>
              </m:r>
              <m:r>
                <m:t>c</m:t>
              </m:r>
              <m:r>
                <m:t>m</m:t>
              </m:r>
            </m:oMath>
          </w:p>
        </w:tc>
        <w:tc>
          <w:p>
            <w:pPr>
              <w:pStyle w:val="Compact"/>
              <w:jc w:val="center"/>
            </w:pPr>
            <m:oMath>
              <m:r>
                <m:t>s</m:t>
              </m:r>
              <m:r>
                <m:t>c</m:t>
              </m:r>
              <m:r>
                <m:t>c</m:t>
              </m:r>
              <m:r>
                <m:t>m</m:t>
              </m:r>
            </m:oMath>
          </w:p>
        </w:tc>
        <w:tc>
          <w:p>
            <w:pPr>
              <w:pStyle w:val="Compact"/>
              <w:jc w:val="center"/>
            </w:pPr>
            <m:oMath>
              <m:r>
                <m:t>d</m:t>
              </m:r>
              <m:r>
                <m:t>e</m:t>
              </m:r>
              <m:r>
                <m:t>g</m:t>
              </m:r>
              <m:r>
                <m:t>C</m:t>
              </m:r>
            </m:oMath>
          </w:p>
        </w:tc>
        <w:tc>
          <w:p>
            <w:pPr>
              <w:pStyle w:val="Compact"/>
              <w:jc w:val="center"/>
            </w:pPr>
            <m:oMath>
              <m:r>
                <m:t>W</m:t>
              </m:r>
            </m:oMath>
          </w:p>
        </w:tc>
        <w:tc>
          <w:p>
            <w:pPr>
              <w:pStyle w:val="Compact"/>
              <w:jc w:val="center"/>
            </w:pPr>
            <m:oMath>
              <m:r>
                <m:t>m</m:t>
              </m:r>
              <m:r>
                <m:t>B</m:t>
              </m:r>
              <m:r>
                <m:t>a</m:t>
              </m:r>
              <m:r>
                <m:t>r</m:t>
              </m:r>
            </m:oMath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36</w:t>
            </w:r>
          </w:p>
        </w:tc>
        <w:tc>
          <w:p>
            <w:pPr>
              <w:pStyle w:val="Compact"/>
              <w:jc w:val="center"/>
            </w:pPr>
            <w:r>
              <w:t xml:space="preserve">2.4</w:t>
            </w:r>
          </w:p>
        </w:tc>
        <w:tc>
          <w:p>
            <w:pPr>
              <w:pStyle w:val="Compact"/>
              <w:jc w:val="center"/>
            </w:pPr>
            <w:r>
              <w:t xml:space="preserve">300</w:t>
            </w:r>
          </w:p>
        </w:tc>
        <w:tc>
          <w:p>
            <w:pPr>
              <w:pStyle w:val="Compact"/>
              <w:jc w:val="center"/>
            </w:pPr>
            <w:r>
              <w:t xml:space="preserve">180</w:t>
            </w:r>
          </w:p>
        </w:tc>
        <w:tc>
          <w:p>
            <w:pPr>
              <w:pStyle w:val="Compact"/>
              <w:jc w:val="center"/>
            </w:pPr>
            <w:r>
              <w:t xml:space="preserve">9E-3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24</w:t>
            </w:r>
          </w:p>
        </w:tc>
        <w:tc>
          <w:p>
            <w:pPr>
              <w:pStyle w:val="Compact"/>
              <w:jc w:val="center"/>
            </w:pPr>
            <w:r>
              <w:t xml:space="preserve">1.6</w:t>
            </w:r>
          </w:p>
        </w:tc>
        <w:tc>
          <w:p>
            <w:pPr>
              <w:pStyle w:val="Compact"/>
              <w:jc w:val="center"/>
            </w:pPr>
            <w:r>
              <w:t xml:space="preserve">20</w:t>
            </w:r>
          </w:p>
        </w:tc>
        <w:tc>
          <w:p>
            <w:pPr>
              <w:pStyle w:val="Compact"/>
              <w:jc w:val="center"/>
            </w:pPr>
            <w:r>
              <w:t xml:space="preserve">120</w:t>
            </w:r>
          </w:p>
        </w:tc>
        <w:tc>
          <w:p>
            <w:pPr>
              <w:pStyle w:val="Compact"/>
              <w:jc w:val="center"/>
            </w:pPr>
            <w:r>
              <w:t xml:space="preserve">6E-3</w:t>
            </w:r>
          </w:p>
        </w:tc>
      </w:tr>
    </w:tbl>
    <w:p>
      <w:pPr>
        <w:pStyle w:val="BodyText"/>
      </w:pPr>
      <w:r>
        <w:br w:type="textWrapping"/>
      </w:r>
    </w:p>
    <w:p>
      <w:pPr>
        <w:pStyle w:val="Heading2"/>
      </w:pPr>
      <w:bookmarkStart w:id="27" w:name="film-characterization"/>
      <w:bookmarkEnd w:id="27"/>
      <w:r>
        <w:t xml:space="preserve">Film characterization</w:t>
      </w:r>
    </w:p>
    <w:p>
      <w:pPr>
        <w:pStyle w:val="FirstParagraph"/>
      </w:pPr>
      <w:r>
        <w:br w:type="textWrapping"/>
      </w:r>
    </w:p>
    <w:p>
      <w:pPr>
        <w:pStyle w:val="Heading3"/>
      </w:pPr>
      <w:bookmarkStart w:id="28" w:name="resistivity"/>
      <w:bookmarkEnd w:id="28"/>
      <w:r>
        <w:t xml:space="preserve">Resistivity</w:t>
      </w:r>
    </w:p>
    <w:p>
      <w:pPr>
        <w:pStyle w:val="FirstParagraph"/>
      </w:pPr>
      <w:r>
        <w:t xml:space="preserve">We assessed the resistivity of our ITO films using a 4-point probe</w:t>
      </w:r>
      <w:r>
        <w:t xml:space="preserve"> </w:t>
      </w:r>
      <w:r>
        <w:t xml:space="preserve">station, namely the KLA-Tencor Prometrix Omnimap RS75, available in the</w:t>
      </w:r>
      <w:r>
        <w:t xml:space="preserve"> </w:t>
      </w:r>
      <w:r>
        <w:t xml:space="preserve">CMi at EPFL. Measurements are performed in the following way : the tool</w:t>
      </w:r>
      <w:r>
        <w:t xml:space="preserve"> </w:t>
      </w:r>
      <w:r>
        <w:t xml:space="preserve">first contacts 4 aligned electrical probes to the film. Then, a DC</w:t>
      </w:r>
      <w:r>
        <w:t xml:space="preserve"> </w:t>
      </w:r>
      <w:r>
        <w:t xml:space="preserve">current is applied between the 2 outer probes, and the voltage between</w:t>
      </w:r>
      <w:r>
        <w:t xml:space="preserve"> </w:t>
      </w:r>
      <w:r>
        <w:t xml:space="preserve">the 2 inner probes is recorded. We thus obtain the sheet resistance of</w:t>
      </w:r>
      <w:r>
        <w:t xml:space="preserve"> </w:t>
      </w:r>
      <w:r>
        <w:t xml:space="preserve">our sample, following the equation :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R</m:t>
              </m:r>
            </m:e>
            <m:sub>
              <m:r>
                <m:t>s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π</m:t>
              </m:r>
            </m:num>
            <m:den>
              <m:r>
                <m:t>l</m:t>
              </m:r>
              <m:r>
                <m:t>n</m:t>
              </m:r>
              <m:r>
                <m:t>(</m:t>
              </m:r>
              <m:r>
                <m:t>2</m:t>
              </m:r>
              <m:r>
                <m:t>)</m:t>
              </m:r>
            </m:den>
          </m:f>
          <m:f>
            <m:fPr>
              <m:type m:val="bar"/>
            </m:fPr>
            <m:num>
              <m:r>
                <m:t>V</m:t>
              </m:r>
            </m:num>
            <m:den>
              <m:r>
                <m:t>I</m:t>
              </m:r>
            </m:den>
          </m:f>
        </m:oMath>
      </m:oMathPara>
    </w:p>
    <w:p>
      <w:pPr>
        <w:pStyle w:val="FirstParagraph"/>
      </w:pPr>
      <w:r>
        <w:t xml:space="preserve">The actual resistivity can easily be calculated knowing the thickness of</w:t>
      </w:r>
      <w:r>
        <w:t xml:space="preserve"> </w:t>
      </w:r>
      <w:r>
        <w:t xml:space="preserve">the film :</w:t>
      </w:r>
    </w:p>
    <w:p>
      <w:pPr>
        <w:pStyle w:val="BodyText"/>
      </w:pPr>
      <m:oMathPara>
        <m:oMathParaPr>
          <m:jc m:val="center"/>
        </m:oMathParaPr>
        <m:oMath>
          <m:r>
            <m:t>ρ</m:t>
          </m:r>
          <m:r>
            <m:t>=</m:t>
          </m:r>
          <m:sSub>
            <m:e>
              <m:r>
                <m:t>R</m:t>
              </m:r>
            </m:e>
            <m:sub>
              <m:r>
                <m:t>s</m:t>
              </m:r>
            </m:sub>
          </m:sSub>
          <m:r>
            <m:t>⋅</m:t>
          </m:r>
          <m:r>
            <m:t>t</m:t>
          </m:r>
        </m:oMath>
      </m:oMathPara>
    </w:p>
    <w:p>
      <w:pPr>
        <w:pStyle w:val="Heading3"/>
      </w:pPr>
      <w:bookmarkStart w:id="29" w:name="transmittance"/>
      <w:bookmarkEnd w:id="29"/>
      <w:r>
        <w:t xml:space="preserve">Transmittance</w:t>
      </w:r>
    </w:p>
    <w:p>
      <w:pPr>
        <w:pStyle w:val="FirstParagraph"/>
      </w:pPr>
      <w:r>
        <w:t xml:space="preserve">We measured the transmittance of our samples with a spectroscopic</w:t>
      </w:r>
      <w:r>
        <w:t xml:space="preserve"> </w:t>
      </w:r>
      <w:r>
        <w:t xml:space="preserve">transmittometer and turned to the Filmetrics F20 UV in the CMi at EPFL.</w:t>
      </w:r>
      <w:r>
        <w:t xml:space="preserve"> </w:t>
      </w:r>
      <w:r>
        <w:t xml:space="preserve">We performed the measurement over the range from 200nm to 1100nm, and</w:t>
      </w:r>
      <w:r>
        <w:t xml:space="preserve"> </w:t>
      </w:r>
      <w:r>
        <w:t xml:space="preserve">then focused on the value obtained at 460nm (see Fig. 1). This is the</w:t>
      </w:r>
      <w:r>
        <w:t xml:space="preserve"> </w:t>
      </w:r>
      <w:r>
        <w:t xml:space="preserve">wavelength that will result in the opening of the light-sensitive ion</w:t>
      </w:r>
      <w:r>
        <w:t xml:space="preserve"> </w:t>
      </w:r>
      <w:r>
        <w:t xml:space="preserve">channels present in the neurons of the transfected mice used in our</w:t>
      </w:r>
      <w:r>
        <w:t xml:space="preserve"> </w:t>
      </w:r>
      <w:r>
        <w:t xml:space="preserve">experiments.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639200" cy="1230000"/>
            <wp:effectExtent b="0" l="0" r="0" t="0"/>
            <wp:docPr descr="Typical transmittance spectrum and its value at 460nm as measured by the Filmetrics F20 UV in CMi, at EPFL. " title="" id="1" name="Picture"/>
            <a:graphic>
              <a:graphicData uri="http://schemas.openxmlformats.org/drawingml/2006/picture">
                <pic:pic>
                  <pic:nvPicPr>
                    <pic:cNvPr descr="figures/transmittance-curve/transmittance-curv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23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Typical transmittance spectrum and its value at 460nm as measured by the</w:t>
      </w:r>
      <w:r>
        <w:t xml:space="preserve"> </w:t>
      </w:r>
      <w:r>
        <w:t xml:space="preserve">Filmetrics F20 UV in CMi, at EPFL.</w:t>
      </w:r>
      <w:r>
        <w:t xml:space="preserve"> </w:t>
      </w:r>
    </w:p>
    <w:p>
      <w:pPr>
        <w:pStyle w:val="Heading3"/>
      </w:pPr>
      <w:bookmarkStart w:id="31" w:name="deposition-rate"/>
      <w:bookmarkEnd w:id="31"/>
      <w:r>
        <w:t xml:space="preserve">Deposition rate</w:t>
      </w:r>
    </w:p>
    <w:p>
      <w:pPr>
        <w:pStyle w:val="FirstParagraph"/>
      </w:pPr>
      <w:r>
        <w:t xml:space="preserve">We determined the exact deposition rate with an atomic force microscope</w:t>
      </w:r>
      <w:r>
        <w:t xml:space="preserve"> </w:t>
      </w:r>
      <w:r>
        <w:t xml:space="preserve">(AFM). Before the deposition experiments, we marked the exposed side of</w:t>
      </w:r>
      <w:r>
        <w:t xml:space="preserve"> </w:t>
      </w:r>
      <w:r>
        <w:t xml:space="preserve">the glass samples with a red marker pen. As the marker ink is dissolved</w:t>
      </w:r>
      <w:r>
        <w:t xml:space="preserve"> </w:t>
      </w:r>
      <w:r>
        <w:t xml:space="preserve">in IPA, we could perform a lift-off of ITO at those locations. We then</w:t>
      </w:r>
      <w:r>
        <w:t xml:space="preserve"> </w:t>
      </w:r>
      <w:r>
        <w:t xml:space="preserve">measured the resulting step height between the ITO layer and the glass</w:t>
      </w:r>
      <w:r>
        <w:t xml:space="preserve"> </w:t>
      </w:r>
      <w:r>
        <w:t xml:space="preserve">substrate. Dividing that value by the exact sputtering time yielded a</w:t>
      </w:r>
      <w:r>
        <w:t xml:space="preserve"> </w:t>
      </w:r>
      <w:r>
        <w:t xml:space="preserve">precise value for the deposition rate.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2" w:name="design-of-experiment"/>
      <w:bookmarkEnd w:id="32"/>
      <w:r>
        <w:t xml:space="preserve">Design of experiment</w:t>
      </w:r>
    </w:p>
    <w:p>
      <w:pPr>
        <w:pStyle w:val="FirstParagraph"/>
      </w:pPr>
      <w:r>
        <w:br w:type="textWrapping"/>
      </w:r>
      <w:r>
        <w:t xml:space="preserve">Assuming the responses of the experiment can be approximated well with a</w:t>
      </w:r>
      <w:r>
        <w:t xml:space="preserve"> </w:t>
      </w:r>
      <w:r>
        <w:t xml:space="preserve">linear model, we opted for a fractional factorial design. For the first</w:t>
      </w:r>
      <w:r>
        <w:t xml:space="preserve"> </w:t>
      </w:r>
      <w:r>
        <w:t xml:space="preserve">round of measurements, we chose to design the experiment such as to</w:t>
      </w:r>
      <w:r>
        <w:t xml:space="preserve"> </w:t>
      </w:r>
      <w:r>
        <w:t xml:space="preserve">minimise the costs. As we have five factors, we used a</w:t>
      </w:r>
      <w:r>
        <w:t xml:space="preserve"> </w:t>
      </w:r>
      <w:r>
        <w:t xml:space="preserve">2</w:t>
      </w:r>
      <w:r>
        <w:rPr>
          <w:vertAlign w:val="superscript"/>
        </w:rPr>
        <w:t xml:space="preserve">5-3</w:t>
      </w:r>
      <w:r>
        <w:t xml:space="preserve"> </w:t>
      </w:r>
      <w:r>
        <w:t xml:space="preserve">design</w:t>
      </w:r>
      <w:r>
        <w:t xml:space="preserve"> </w:t>
      </w:r>
      <w:r>
        <w:t xml:space="preserve">(Table </w:t>
      </w:r>
      <w:r>
        <w:t xml:space="preserve">???</w:t>
      </w:r>
      <w:r>
        <w:t xml:space="preserve">) with the generator (1,</w:t>
      </w:r>
      <w:r>
        <w:t xml:space="preserve"> </w:t>
      </w:r>
      <w:r>
        <w:t xml:space="preserve">2, 3, 13, 23), yielding 8 measurement runs to perform. We added a null</w:t>
      </w:r>
      <w:r>
        <w:t xml:space="preserve"> </w:t>
      </w:r>
      <w:r>
        <w:t xml:space="preserve">run in order to be able to test the lack-of-fit.</w:t>
      </w:r>
    </w:p>
    <w:p>
      <w:pPr>
        <w:pStyle w:val="BodyText"/>
      </w:pPr>
      <w:r>
        <w:br w:type="textWrapping"/>
      </w:r>
      <w:r>
        <w:t xml:space="preserve">The system is of resolution III, meaning that the main effects are</w:t>
      </w:r>
      <w:r>
        <w:t xml:space="preserve"> </w:t>
      </w:r>
      <w:r>
        <w:t xml:space="preserve">aliased with first order interactions</w:t>
      </w:r>
      <w:r>
        <w:t xml:space="preserve"> </w:t>
      </w:r>
      <w:r>
        <w:t xml:space="preserve">(Table </w:t>
      </w:r>
      <w:r>
        <w:t xml:space="preserve">???</w:t>
      </w:r>
      <w:r>
        <w:t xml:space="preserve">). The chuck temperature is</w:t>
      </w:r>
      <w:r>
        <w:t xml:space="preserve"> </w:t>
      </w:r>
      <w:r>
        <w:t xml:space="preserve">the only factor not defining the plasma, we thus expect it to have</w:t>
      </w:r>
      <w:r>
        <w:t xml:space="preserve"> </w:t>
      </w:r>
      <w:r>
        <w:t xml:space="preserve">little interaction with the other factors. In order to limit aliasing on</w:t>
      </w:r>
      <w:r>
        <w:t xml:space="preserve"> </w:t>
      </w:r>
      <w:r>
        <w:t xml:space="preserve">the other factors, we chose the temperature to be factor 3. If required,</w:t>
      </w:r>
      <w:r>
        <w:t xml:space="preserve"> </w:t>
      </w:r>
      <w:r>
        <w:t xml:space="preserve">after analysis of the first round of experiments it is possible to</w:t>
      </w:r>
      <w:r>
        <w:t xml:space="preserve"> </w:t>
      </w:r>
      <w:r>
        <w:t xml:space="preserve">extend the experiment matrix with 8 additional runs and obtain a</w:t>
      </w:r>
      <w:r>
        <w:t xml:space="preserve"> </w:t>
      </w:r>
      <w:r>
        <w:t xml:space="preserve">2</w:t>
      </w:r>
      <w:r>
        <w:rPr>
          <w:vertAlign w:val="superscript"/>
        </w:rPr>
        <w:t xml:space="preserve">5-1</w:t>
      </w:r>
      <w:r>
        <w:t xml:space="preserve"> </w:t>
      </w:r>
      <w:r>
        <w:t xml:space="preserve">fractional factorial design, allowing de-aliasing</w:t>
      </w:r>
      <w:r>
        <w:t xml:space="preserve"> </w:t>
      </w:r>
      <w:r>
        <w:t xml:space="preserve">of the main effects and the first order interactions.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TableCaption"/>
      </w:pPr>
      <w:r>
        <w:t xml:space="preserve"> </w:t>
      </w:r>
      <w:r>
        <w:t xml:space="preserve">Experiment matrix: the eight runs of the fractional factorial design were completed with a center point run.</w:t>
      </w:r>
    </w:p>
    <w:tbl>
      <w:tblPr>
        <w:tblStyle w:val="TableNormal"/>
        <w:tblW w:type="pct" w:w="0.0"/>
        <w:tblLook w:firstRow="1"/>
        <w:tblCaption w:val=" Experiment matrix: the eight runs of the fractional factorial design were completed with a center point run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rPr>
                <w:b/>
              </w:rPr>
              <w:t xml:space="preserve">Run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rPr>
                <w:b/>
              </w:rPr>
              <w:t xml:space="preserve">1: Argon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rPr>
                <w:b/>
              </w:rPr>
              <w:t xml:space="preserve">2: Oxygen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rPr>
                <w:b/>
              </w:rPr>
              <w:t xml:space="preserve">3: Temperature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rPr>
                <w:b/>
              </w:rPr>
              <w:t xml:space="preserve">4: DC Power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rPr>
                <w:b/>
              </w:rPr>
              <w:t xml:space="preserve">5: Pressure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</w:tr>
    </w:tbl>
    <w:p>
      <w:pPr>
        <w:pStyle w:val="TableCaption"/>
      </w:pPr>
      <w:r>
        <w:t xml:space="preserve"> </w:t>
      </w:r>
      <w:r>
        <w:t xml:space="preserve">Aliasing: the main effects are confounded with first order interactions.</w:t>
      </w:r>
    </w:p>
    <w:tbl>
      <w:tblPr>
        <w:tblStyle w:val="TableNormal"/>
        <w:tblW w:type="pct" w:w="0.0"/>
        <w:tblLook w:firstRow="1"/>
        <w:tblCaption w:val=" Aliasing: the main effects are confounded with first order interactions.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Contrast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Term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center"/>
            </w:pPr>
            <w:r>
              <w:t xml:space="preserve">Confounding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Argon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Oxygen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14+25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 Power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Pressure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Interaction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p>
            <w:pPr>
              <w:pStyle w:val="Compact"/>
              <w:jc w:val="center"/>
            </w:pPr>
            <w:r>
              <w:t xml:space="preserve">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Interaction</w:t>
            </w:r>
          </w:p>
        </w:tc>
        <w:tc>
          <w:p>
            <w:pPr>
              <w:pStyle w:val="Compact"/>
              <w:jc w:val="center"/>
            </w:pPr>
            <w:r>
              <w:t xml:space="preserve">15</w:t>
            </w:r>
          </w:p>
        </w:tc>
        <w:tc>
          <w:p>
            <w:pPr>
              <w:pStyle w:val="Compact"/>
              <w:jc w:val="center"/>
            </w:pPr>
            <w:r>
              <w:t xml:space="preserve">25</w:t>
            </w:r>
          </w:p>
        </w:tc>
      </w:tr>
    </w:tbl>
    <w:p>
      <w:pPr>
        <w:pStyle w:val="Heading1"/>
      </w:pPr>
      <w:bookmarkStart w:id="33" w:name="results"/>
      <w:bookmarkEnd w:id="33"/>
      <w:r>
        <w:t xml:space="preserve">Results</w:t>
      </w:r>
    </w:p>
    <w:p>
      <w:pPr>
        <w:pStyle w:val="FirstParagraph"/>
      </w:pPr>
      <w:r>
        <w:t xml:space="preserve">The results from the 9 experimental runs are shown in Table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TableCaption"/>
      </w:pPr>
      <w:r>
        <w:t xml:space="preserve"> </w:t>
      </w:r>
      <w:r>
        <w:t xml:space="preserve">Results of the characterization of the nine experiment runs.</w:t>
      </w:r>
    </w:p>
    <w:tbl>
      <w:tblPr>
        <w:tblStyle w:val="TableNormal"/>
        <w:tblW w:type="pct" w:w="0.0"/>
        <w:tblLook/>
        <w:tblCaption w:val=" Results of the characterization of the nine experiment runs.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1: Argon</w:t>
            </w:r>
          </w:p>
        </w:tc>
        <w:tc>
          <w:p>
            <w:pPr>
              <w:pStyle w:val="Compact"/>
              <w:jc w:val="center"/>
            </w:pPr>
            <w:r>
              <w:t xml:space="preserve">2: Oxygen</w:t>
            </w:r>
          </w:p>
        </w:tc>
        <w:tc>
          <w:p>
            <w:pPr>
              <w:pStyle w:val="Compact"/>
              <w:jc w:val="center"/>
            </w:pPr>
            <w:r>
              <w:t xml:space="preserve">3: Temperature</w:t>
            </w:r>
          </w:p>
        </w:tc>
        <w:tc>
          <w:p>
            <w:pPr>
              <w:pStyle w:val="Compact"/>
              <w:jc w:val="center"/>
            </w:pPr>
            <w:r>
              <w:t xml:space="preserve">4: DC Power</w:t>
            </w:r>
          </w:p>
        </w:tc>
        <w:tc>
          <w:p>
            <w:pPr>
              <w:pStyle w:val="Compact"/>
              <w:jc w:val="center"/>
            </w:pPr>
            <w:r>
              <w:t xml:space="preserve">5: Pressure</w:t>
            </w:r>
          </w:p>
        </w:tc>
        <w:tc>
          <w:p>
            <w:pPr>
              <w:pStyle w:val="Compact"/>
              <w:jc w:val="center"/>
            </w:pPr>
            <w:r>
              <w:t xml:space="preserve">Deposition Rate</w:t>
            </w:r>
          </w:p>
        </w:tc>
        <w:tc>
          <w:p>
            <w:pPr>
              <w:pStyle w:val="Compact"/>
              <w:jc w:val="center"/>
            </w:pPr>
            <w:r>
              <w:t xml:space="preserve">Resistivity</w:t>
            </w:r>
          </w:p>
        </w:tc>
        <w:tc>
          <w:p>
            <w:pPr>
              <w:pStyle w:val="Compact"/>
              <w:jc w:val="center"/>
            </w:pPr>
            <w:r>
              <w:t xml:space="preserve">Transmittance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Run</w:t>
            </w:r>
          </w:p>
        </w:tc>
        <w:tc>
          <w:p>
            <w:pPr>
              <w:pStyle w:val="Compact"/>
              <w:jc w:val="center"/>
            </w:pPr>
            <m:oMath>
              <m:r>
                <m:t>s</m:t>
              </m:r>
              <m:r>
                <m:t>c</m:t>
              </m:r>
              <m:r>
                <m:t>c</m:t>
              </m:r>
              <m:r>
                <m:t>m</m:t>
              </m:r>
            </m:oMath>
          </w:p>
        </w:tc>
        <w:tc>
          <w:p>
            <w:pPr>
              <w:pStyle w:val="Compact"/>
              <w:jc w:val="center"/>
            </w:pPr>
            <m:oMath>
              <m:r>
                <m:t>s</m:t>
              </m:r>
              <m:r>
                <m:t>c</m:t>
              </m:r>
              <m:r>
                <m:t>c</m:t>
              </m:r>
              <m:r>
                <m:t>m</m:t>
              </m:r>
            </m:oMath>
          </w:p>
        </w:tc>
        <w:tc>
          <w:p>
            <w:pPr>
              <w:pStyle w:val="Compact"/>
              <w:jc w:val="center"/>
            </w:pPr>
            <m:oMath>
              <m:sSup>
                <m:e>
                  <m:r>
                    <m:t/>
                  </m:r>
                </m:e>
                <m:sup>
                  <m:r>
                    <m:t>∘</m:t>
                  </m:r>
                </m:sup>
              </m:sSup>
              <m:r>
                <m:t>C</m:t>
              </m:r>
            </m:oMath>
          </w:p>
        </w:tc>
        <w:tc>
          <w:p>
            <w:pPr>
              <w:pStyle w:val="Compact"/>
              <w:jc w:val="center"/>
            </w:pPr>
            <m:oMath>
              <m:r>
                <m:t>W</m:t>
              </m:r>
            </m:oMath>
          </w:p>
        </w:tc>
        <w:tc>
          <w:p>
            <w:pPr>
              <w:pStyle w:val="Compact"/>
              <w:jc w:val="center"/>
            </w:pPr>
            <m:oMath>
              <m:r>
                <m:t>m</m:t>
              </m:r>
              <m:r>
                <m:t>b</m:t>
              </m:r>
              <m:r>
                <m:t>a</m:t>
              </m:r>
              <m:r>
                <m:t>r</m:t>
              </m:r>
            </m:oMath>
          </w:p>
        </w:tc>
        <w:tc>
          <w:p>
            <w:pPr>
              <w:pStyle w:val="Compact"/>
              <w:jc w:val="center"/>
            </w:pPr>
            <m:oMath>
              <m:r>
                <m:t>n</m:t>
              </m:r>
              <m:r>
                <m:t>m</m:t>
              </m:r>
              <m:r>
                <m:t>/</m:t>
              </m:r>
              <m:r>
                <m:t>m</m:t>
              </m:r>
              <m:r>
                <m:t>i</m:t>
              </m:r>
              <m:r>
                <m:t>n</m:t>
              </m:r>
            </m:oMath>
          </w:p>
        </w:tc>
        <w:tc>
          <w:p>
            <w:pPr>
              <w:pStyle w:val="Compact"/>
              <w:jc w:val="center"/>
            </w:pPr>
            <m:oMath>
              <m:r>
                <m:t>Ω</m:t>
              </m:r>
              <m:r>
                <m:t>⋅</m:t>
              </m:r>
              <m:r>
                <m:t>c</m:t>
              </m:r>
              <m:r>
                <m:t>m</m:t>
              </m:r>
            </m:oMath>
          </w:p>
        </w:tc>
        <w:tc>
          <w:p>
            <w:pPr>
              <w:pStyle w:val="Compact"/>
              <w:jc w:val="center"/>
            </w:pPr>
            <m:oMath>
              <m:r>
                <m:t>%</m:t>
              </m:r>
            </m:oMath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13.1</w:t>
            </w:r>
          </w:p>
        </w:tc>
        <w:tc>
          <w:p>
            <w:pPr>
              <w:pStyle w:val="Compact"/>
              <w:jc w:val="center"/>
            </w:pPr>
            <w:r>
              <w:t xml:space="preserve">0.1498</w:t>
            </w:r>
          </w:p>
        </w:tc>
        <w:tc>
          <w:p>
            <w:pPr>
              <w:pStyle w:val="Compact"/>
              <w:jc w:val="center"/>
            </w:pPr>
            <w:r>
              <w:t xml:space="preserve">85.3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9.1</w:t>
            </w:r>
          </w:p>
        </w:tc>
        <w:tc>
          <w:p>
            <w:pPr>
              <w:pStyle w:val="Compact"/>
              <w:jc w:val="center"/>
            </w:pPr>
            <w:r>
              <w:t xml:space="preserve">0.0006</w:t>
            </w:r>
          </w:p>
        </w:tc>
        <w:tc>
          <w:p>
            <w:pPr>
              <w:pStyle w:val="Compact"/>
              <w:jc w:val="center"/>
            </w:pPr>
            <w:r>
              <w:t xml:space="preserve">87.2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12.1</w:t>
            </w:r>
          </w:p>
        </w:tc>
        <w:tc>
          <w:p>
            <w:pPr>
              <w:pStyle w:val="Compact"/>
              <w:jc w:val="center"/>
            </w:pPr>
            <w:r>
              <w:t xml:space="preserve">0.0017</w:t>
            </w:r>
          </w:p>
        </w:tc>
        <w:tc>
          <w:p>
            <w:pPr>
              <w:pStyle w:val="Compact"/>
              <w:jc w:val="center"/>
            </w:pPr>
            <w:r>
              <w:t xml:space="preserve">87.2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7.9</w:t>
            </w:r>
          </w:p>
        </w:tc>
        <w:tc>
          <w:p>
            <w:pPr>
              <w:pStyle w:val="Compact"/>
              <w:jc w:val="center"/>
            </w:pPr>
            <w:r>
              <w:t xml:space="preserve">0.0333</w:t>
            </w:r>
          </w:p>
        </w:tc>
        <w:tc>
          <w:p>
            <w:pPr>
              <w:pStyle w:val="Compact"/>
              <w:jc w:val="center"/>
            </w:pPr>
            <w:r>
              <w:t xml:space="preserve">86.2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8.4</w:t>
            </w:r>
          </w:p>
        </w:tc>
        <w:tc>
          <w:p>
            <w:pPr>
              <w:pStyle w:val="Compact"/>
              <w:jc w:val="center"/>
            </w:pPr>
            <w:r>
              <w:t xml:space="preserve">0.0034</w:t>
            </w:r>
          </w:p>
        </w:tc>
        <w:tc>
          <w:p>
            <w:pPr>
              <w:pStyle w:val="Compact"/>
              <w:jc w:val="center"/>
            </w:pPr>
            <w:r>
              <w:t xml:space="preserve">88.6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12.3</w:t>
            </w:r>
          </w:p>
        </w:tc>
        <w:tc>
          <w:p>
            <w:pPr>
              <w:pStyle w:val="Compact"/>
              <w:jc w:val="center"/>
            </w:pPr>
            <w:r>
              <w:t xml:space="preserve">0.0007</w:t>
            </w:r>
          </w:p>
        </w:tc>
        <w:tc>
          <w:p>
            <w:pPr>
              <w:pStyle w:val="Compact"/>
              <w:jc w:val="center"/>
            </w:pPr>
            <w:r>
              <w:t xml:space="preserve">84.9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8.7</w:t>
            </w:r>
          </w:p>
        </w:tc>
        <w:tc>
          <w:p>
            <w:pPr>
              <w:pStyle w:val="Compact"/>
              <w:jc w:val="center"/>
            </w:pPr>
            <w:r>
              <w:t xml:space="preserve">0.0007</w:t>
            </w:r>
          </w:p>
        </w:tc>
        <w:tc>
          <w:p>
            <w:pPr>
              <w:pStyle w:val="Compact"/>
              <w:jc w:val="center"/>
            </w:pPr>
            <w:r>
              <w:t xml:space="preserve">88.9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12.6</w:t>
            </w:r>
          </w:p>
        </w:tc>
        <w:tc>
          <w:p>
            <w:pPr>
              <w:pStyle w:val="Compact"/>
              <w:jc w:val="center"/>
            </w:pPr>
            <w:r>
              <w:t xml:space="preserve">0.0011</w:t>
            </w:r>
          </w:p>
        </w:tc>
        <w:tc>
          <w:p>
            <w:pPr>
              <w:pStyle w:val="Compact"/>
              <w:jc w:val="center"/>
            </w:pPr>
            <w:r>
              <w:t xml:space="preserve">87.2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pStyle w:val="Compact"/>
              <w:jc w:val="center"/>
            </w:pPr>
            <w:r>
              <w:t xml:space="preserve">11.0</w:t>
            </w:r>
          </w:p>
        </w:tc>
        <w:tc>
          <w:p>
            <w:pPr>
              <w:pStyle w:val="Compact"/>
              <w:jc w:val="center"/>
            </w:pPr>
            <w:r>
              <w:t xml:space="preserve">0.0011</w:t>
            </w:r>
          </w:p>
        </w:tc>
        <w:tc>
          <w:p>
            <w:pPr>
              <w:pStyle w:val="Compact"/>
              <w:jc w:val="center"/>
            </w:pPr>
            <w:r>
              <w:t xml:space="preserve">84.0</w:t>
            </w:r>
          </w:p>
        </w:tc>
      </w:tr>
    </w:tbl>
    <w:p>
      <w:pPr>
        <w:pStyle w:val="BodyText"/>
      </w:pPr>
      <w:r>
        <w:br w:type="textWrapping"/>
      </w:r>
    </w:p>
    <w:p>
      <w:pPr>
        <w:pStyle w:val="Heading2"/>
      </w:pPr>
      <w:bookmarkStart w:id="34" w:name="deposition-rate-1"/>
      <w:bookmarkEnd w:id="34"/>
      <w:r>
        <w:t xml:space="preserve">Deposition rate</w:t>
      </w:r>
    </w:p>
    <w:p>
      <w:pPr>
        <w:pStyle w:val="FirstParagraph"/>
      </w:pPr>
      <w:r>
        <w:br w:type="textWrapping"/>
      </w:r>
      <w:r>
        <w:t xml:space="preserve">The results show that only one factor is significant (Fig.</w:t>
      </w:r>
      <w:r>
        <w:t xml:space="preserve"> </w:t>
      </w:r>
      <w:r>
        <w:t xml:space="preserve">???</w:t>
      </w:r>
      <w:r>
        <w:t xml:space="preserve">). Indeed, increasing the DC power</w:t>
      </w:r>
      <w:r>
        <w:t xml:space="preserve"> </w:t>
      </w:r>
      <w:r>
        <w:t xml:space="preserve">accelerates the deposition rate, while varying all other factors have no</w:t>
      </w:r>
      <w:r>
        <w:t xml:space="preserve"> </w:t>
      </w:r>
      <w:r>
        <w:t xml:space="preserve">significant impact.</w:t>
      </w:r>
    </w:p>
    <w:p>
      <w:pPr>
        <w:pStyle w:val="FigureWithCaption"/>
      </w:pPr>
      <w:r>
        <w:drawing>
          <wp:inline>
            <wp:extent cx="1440000" cy="1200000"/>
            <wp:effectExtent b="0" l="0" r="0" t="0"/>
            <wp:docPr descr="Deposition rate analysis. The relative half effects and the normal distribution show that only the effect of factor 4 (DC power) is significant. The fitted linear regression model (1+x4) is good (p-value is 2.05E-06). There is no lack of fit (p-value of 0.20). " title="" id="1" name="Picture"/>
            <a:graphic>
              <a:graphicData uri="http://schemas.openxmlformats.org/drawingml/2006/picture">
                <pic:pic>
                  <pic:nvPicPr>
                    <pic:cNvPr descr="figures/Effects-DepositionRate/Effects-DepositionRat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0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Deposition rate analysis. The relative half effects and the normal</w:t>
      </w:r>
      <w:r>
        <w:t xml:space="preserve"> </w:t>
      </w:r>
      <w:r>
        <w:t xml:space="preserve">distribution show that only the effect of factor 4 (DC power) is</w:t>
      </w:r>
      <w:r>
        <w:t xml:space="preserve"> </w:t>
      </w:r>
      <w:r>
        <w:t xml:space="preserve">significant. The fitted linear regression model (1+x4) is good (p-value</w:t>
      </w:r>
      <w:r>
        <w:t xml:space="preserve"> </w:t>
      </w:r>
      <w:r>
        <w:t xml:space="preserve">is 2.05E-06). There is no lack of fit (p-value of 0.20).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6" w:name="resistivity-1"/>
      <w:bookmarkEnd w:id="36"/>
      <w:r>
        <w:t xml:space="preserve">Resistivity</w:t>
      </w:r>
    </w:p>
    <w:p>
      <w:pPr>
        <w:pStyle w:val="FirstParagraph"/>
      </w:pPr>
      <w:r>
        <w:br w:type="textWrapping"/>
      </w:r>
      <w:r>
        <w:t xml:space="preserve">Studies showed that sheet resistance sputtered ITO films is proportional</w:t>
      </w:r>
      <w:r>
        <w:t xml:space="preserve"> </w:t>
      </w:r>
      <w:r>
        <w:t xml:space="preserve">to the inverse of temperature and pressure (Yasrebi et al. 2014). It</w:t>
      </w:r>
      <w:r>
        <w:t xml:space="preserve"> </w:t>
      </w:r>
      <w:r>
        <w:t xml:space="preserve">follows that sheet conductance, and thus material conductivity vary</w:t>
      </w:r>
      <w:r>
        <w:t xml:space="preserve"> </w:t>
      </w:r>
      <w:r>
        <w:t xml:space="preserve">linearly with the temperature and pressure. We thus decided to use the</w:t>
      </w:r>
      <w:r>
        <w:t xml:space="preserve"> </w:t>
      </w:r>
      <w:r>
        <w:t xml:space="preserve">conductivity, rather than resistivity as the experiment response. This</w:t>
      </w:r>
      <w:r>
        <w:t xml:space="preserve"> </w:t>
      </w:r>
      <w:r>
        <w:t xml:space="preserve">justifies the use of a linear regression model.</w:t>
      </w:r>
    </w:p>
    <w:p>
      <w:pPr>
        <w:pStyle w:val="BodyText"/>
      </w:pPr>
      <w:r>
        <w:br w:type="textWrapping"/>
      </w:r>
      <w:r>
        <w:t xml:space="preserve">The model (Fig. </w:t>
      </w:r>
      <w:r>
        <w:t xml:space="preserve">???</w:t>
      </w:r>
      <w:r>
        <w:t xml:space="preserve">) shows that increasing</w:t>
      </w:r>
      <w:r>
        <w:t xml:space="preserve"> </w:t>
      </w:r>
      <w:r>
        <w:t xml:space="preserve">Argon flow and temperature, as well as decreasing the base pressure will</w:t>
      </w:r>
      <w:r>
        <w:t xml:space="preserve"> </w:t>
      </w:r>
      <w:r>
        <w:t xml:space="preserve">increase the conductivity. However it is important to remember that the</w:t>
      </w:r>
      <w:r>
        <w:t xml:space="preserve"> </w:t>
      </w:r>
      <w:r>
        <w:t xml:space="preserve">temperature effect is aliased with potentially important interactions.</w:t>
      </w:r>
      <w:r>
        <w:t xml:space="preserve"> </w:t>
      </w:r>
      <w:r>
        <w:t xml:space="preserve">Additional experiments can be performed to de-alias the main effects</w:t>
      </w:r>
      <w:r>
        <w:t xml:space="preserve"> </w:t>
      </w:r>
      <w:r>
        <w:t xml:space="preserve">from first order interactions.</w:t>
      </w:r>
    </w:p>
    <w:p>
      <w:pPr>
        <w:pStyle w:val="FigureWithCaption"/>
      </w:pPr>
      <w:r>
        <w:drawing>
          <wp:inline>
            <wp:extent cx="1639200" cy="1024800"/>
            <wp:effectExtent b="0" l="0" r="0" t="0"/>
            <wp:docPr descr="Conductivity analysis. The relative half effects show that Argon flow, temperature and pressure are relevant. There are also some non-negligible interactions. The fitted linear regression model (1+x1+x3+x5+x1:x2) is reasonable(p-value is 3.42E-03).  " title="" id="1" name="Picture"/>
            <a:graphic>
              <a:graphicData uri="http://schemas.openxmlformats.org/drawingml/2006/picture">
                <pic:pic>
                  <pic:nvPicPr>
                    <pic:cNvPr descr="figures/Effects-Resistivity/Effects-Conductivit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02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Conductivity analysis. The relative half effects show that Argon flow,</w:t>
      </w:r>
      <w:r>
        <w:t xml:space="preserve"> </w:t>
      </w:r>
      <w:r>
        <w:t xml:space="preserve">temperature and pressure are relevant. There are also some</w:t>
      </w:r>
      <w:r>
        <w:t xml:space="preserve"> </w:t>
      </w:r>
      <w:r>
        <w:t xml:space="preserve">non-negligible interactions. The fitted linear regression model</w:t>
      </w:r>
      <w:r>
        <w:t xml:space="preserve"> </w:t>
      </w:r>
      <w:r>
        <w:t xml:space="preserve">(1+x1+x3+x5+x1:x2) is reasonable(p-value is 3.42E-03). 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8" w:name="transmittance-1"/>
      <w:bookmarkEnd w:id="38"/>
      <w:r>
        <w:t xml:space="preserve">Transmittance</w:t>
      </w:r>
    </w:p>
    <w:p>
      <w:pPr>
        <w:pStyle w:val="FirstParagraph"/>
      </w:pPr>
      <w:r>
        <w:br w:type="textWrapping"/>
      </w:r>
      <w:r>
        <w:t xml:space="preserve">The transmittance analysis (Fig. </w:t>
      </w:r>
      <w:r>
        <w:t xml:space="preserve">???</w:t>
      </w:r>
      <w:r>
        <w:t xml:space="preserve">) does</w:t>
      </w:r>
      <w:r>
        <w:t xml:space="preserve"> </w:t>
      </w:r>
      <w:r>
        <w:t xml:space="preserve">not allow us to quantify the effects of the factors, as their values are</w:t>
      </w:r>
      <w:r>
        <w:t xml:space="preserve"> </w:t>
      </w:r>
      <w:r>
        <w:t xml:space="preserve">within the uncertainty of the data. However we expect the effects to be</w:t>
      </w:r>
      <w:r>
        <w:t xml:space="preserve"> </w:t>
      </w:r>
      <w:r>
        <w:t xml:space="preserve">relatively small compared to the constant: indeed the relative half</w:t>
      </w:r>
      <w:r>
        <w:t xml:space="preserve"> </w:t>
      </w:r>
      <w:r>
        <w:t xml:space="preserve">effects are below the 1% mark.</w:t>
      </w:r>
    </w:p>
    <w:p>
      <w:pPr>
        <w:pStyle w:val="FigureWithCaption"/>
      </w:pPr>
      <w:r>
        <w:drawing>
          <wp:inline>
            <wp:extent cx="1639200" cy="1024800"/>
            <wp:effectExtent b="0" l="0" r="0" t="0"/>
            <wp:docPr descr="Transmittance analysis. The relative half effects and the normal plot  show that we do not have enough information to define which factors have a relevant effect on transmittance. The p-values of all factors except the intercept are far above 5%. " title="" id="1" name="Picture"/>
            <a:graphic>
              <a:graphicData uri="http://schemas.openxmlformats.org/drawingml/2006/picture">
                <pic:pic>
                  <pic:nvPicPr>
                    <pic:cNvPr descr="figures/Effects-Transmittivity/Effects-Transmittivit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102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Transmittance analysis. The relative half effects and the normal plot</w:t>
      </w:r>
      <w:r>
        <w:t xml:space="preserve"> </w:t>
      </w:r>
      <w:r>
        <w:t xml:space="preserve"> show that we do not have enough information to define which factors</w:t>
      </w:r>
      <w:r>
        <w:t xml:space="preserve"> </w:t>
      </w:r>
      <w:r>
        <w:t xml:space="preserve">have a relevant effect on transmittance. The p-values of all factors</w:t>
      </w:r>
      <w:r>
        <w:t xml:space="preserve"> </w:t>
      </w:r>
      <w:r>
        <w:t xml:space="preserve">except the intercept are far above 5%.</w:t>
      </w:r>
      <w:r>
        <w:t xml:space="preserve"> </w:t>
      </w:r>
    </w:p>
    <w:p>
      <w:pPr>
        <w:pStyle w:val="Heading2"/>
      </w:pPr>
      <w:bookmarkStart w:id="40" w:name="section-1"/>
      <w:bookmarkEnd w:id="40"/>
    </w:p>
    <w:p>
      <w:pPr>
        <w:pStyle w:val="Heading1"/>
      </w:pPr>
      <w:bookmarkStart w:id="41" w:name="conclusion"/>
      <w:bookmarkEnd w:id="41"/>
      <w:r>
        <w:t xml:space="preserve">Conclusion</w:t>
      </w:r>
    </w:p>
    <w:p>
      <w:pPr>
        <w:pStyle w:val="FirstParagraph"/>
      </w:pPr>
      <w:r>
        <w:br w:type="textWrapping"/>
      </w:r>
      <w:r>
        <w:t xml:space="preserve">We were able to learn some valuable information about the</w:t>
      </w:r>
      <w:r>
        <w:t xml:space="preserve"> </w:t>
      </w:r>
      <w:r>
        <w:t xml:space="preserve">characteristics of sputtered ITO films. We have determined the</w:t>
      </w:r>
      <w:r>
        <w:t xml:space="preserve"> </w:t>
      </w:r>
      <w:r>
        <w:t xml:space="preserve">dependance of the deposition rate on the sputtering parameters. The</w:t>
      </w:r>
      <w:r>
        <w:t xml:space="preserve"> </w:t>
      </w:r>
      <w:r>
        <w:t xml:space="preserve">transmittance changes only in small amounts within our experiment design</w:t>
      </w:r>
      <w:r>
        <w:t xml:space="preserve"> </w:t>
      </w:r>
      <w:r>
        <w:t xml:space="preserve">space; this indicates that it may not be necessary to consider</w:t>
      </w:r>
      <w:r>
        <w:t xml:space="preserve"> </w:t>
      </w:r>
      <w:r>
        <w:t xml:space="preserve">transmittance as a response for which to optimise the sputtering</w:t>
      </w:r>
      <w:r>
        <w:t xml:space="preserve"> </w:t>
      </w:r>
      <w:r>
        <w:t xml:space="preserve">process. In contrast, the resistivity can change by a couple of orders</w:t>
      </w:r>
      <w:r>
        <w:t xml:space="preserve"> </w:t>
      </w:r>
      <w:r>
        <w:t xml:space="preserve">of magnitude, depending on the parameters. We determined which factors</w:t>
      </w:r>
      <w:r>
        <w:t xml:space="preserve"> </w:t>
      </w:r>
      <w:r>
        <w:t xml:space="preserve">have relevant effects, but also noticed that some interactions are non</w:t>
      </w:r>
      <w:r>
        <w:t xml:space="preserve"> </w:t>
      </w:r>
      <w:r>
        <w:t xml:space="preserve">negligible. As our fractional factorial design does not allow to</w:t>
      </w:r>
      <w:r>
        <w:t xml:space="preserve"> </w:t>
      </w:r>
      <w:r>
        <w:t xml:space="preserve">distinguish between main effect and first order interaction, future work</w:t>
      </w:r>
      <w:r>
        <w:t xml:space="preserve"> </w:t>
      </w:r>
      <w:r>
        <w:t xml:space="preserve">should include a set of additional experiments, carefully chosen in</w:t>
      </w:r>
      <w:r>
        <w:t xml:space="preserve"> </w:t>
      </w:r>
      <w:r>
        <w:t xml:space="preserve">order to de-aliase our results.</w:t>
      </w:r>
    </w:p>
    <w:p>
      <w:pPr>
        <w:pStyle w:val="Heading1"/>
      </w:pPr>
      <w:bookmarkStart w:id="42" w:name="references"/>
      <w:bookmarkEnd w:id="42"/>
      <w:r>
        <w:t xml:space="preserve">References</w:t>
      </w:r>
    </w:p>
    <w:p>
      <w:pPr>
        <w:pStyle w:val="FirstParagraph"/>
      </w:pPr>
      <w:r>
        <w:t xml:space="preserve">Pakkenberg, B., and H. J. G. Gundersen. 1988.</w:t>
      </w:r>
      <w:r>
        <w:t xml:space="preserve"> </w:t>
      </w:r>
      <w:r>
        <w:t xml:space="preserve">“</w:t>
      </w:r>
      <w:r>
        <w:t xml:space="preserve">Total Number of Neurons and Glial Cells in Human Brain Nuclei Estimated by the Disector and the Fractionator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Microscopy</w:t>
      </w:r>
      <w:r>
        <w:t xml:space="preserve"> </w:t>
      </w:r>
      <w:r>
        <w:t xml:space="preserve">150 (1). Wiley: 1–20. doi:10.1111/j.1365-2818.1988.tb04582.x.</w:t>
      </w:r>
    </w:p>
    <w:p>
      <w:pPr>
        <w:pStyle w:val="BodyText"/>
      </w:pPr>
      <w:r>
        <w:t xml:space="preserve">Crick, F. H. C. 1979.</w:t>
      </w:r>
      <w:r>
        <w:t xml:space="preserve"> </w:t>
      </w:r>
      <w:r>
        <w:t xml:space="preserve">“</w:t>
      </w:r>
      <w:r>
        <w:t xml:space="preserve">Thinking about the Brain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Scientific American</w:t>
      </w:r>
      <w:r>
        <w:t xml:space="preserve"> </w:t>
      </w:r>
      <w:r>
        <w:t xml:space="preserve">241 (3). Springer Nature: 219–32. doi:10.1038/scientificamerican0979-219.</w:t>
      </w:r>
    </w:p>
    <w:p>
      <w:pPr>
        <w:pStyle w:val="BodyText"/>
      </w:pPr>
      <w:r>
        <w:t xml:space="preserve">Kim, H., C. M. Gilmore, A. Piqu</w:t>
      </w:r>
      <w:r>
        <w:t xml:space="preserve">é</w:t>
      </w:r>
      <w:r>
        <w:t xml:space="preserve">, J. S. Horwitz, H. Mattoussi, H. Murata, Z. H. Kafafi, and D. B. Chrisey. 1999.</w:t>
      </w:r>
      <w:r>
        <w:t xml:space="preserve"> </w:t>
      </w:r>
      <w:r>
        <w:t xml:space="preserve">“</w:t>
      </w:r>
      <w:r>
        <w:t xml:space="preserve">Electrical Optical, and Structural Properties of IndiumTinOxide Thin Films for Organic Light-Emitting Devices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Applied Physics</w:t>
      </w:r>
      <w:r>
        <w:t xml:space="preserve"> </w:t>
      </w:r>
      <w:r>
        <w:t xml:space="preserve">86 (11).</w:t>
      </w:r>
      <w:r>
        <w:t xml:space="preserve"> </w:t>
      </w:r>
      <w:r>
        <w:t xml:space="preserve">AIP</w:t>
      </w:r>
      <w:r>
        <w:t xml:space="preserve"> </w:t>
      </w:r>
      <w:r>
        <w:t xml:space="preserve">Publishing: 6451–61. doi:10.1063/1.371708.</w:t>
      </w:r>
    </w:p>
    <w:p>
      <w:pPr>
        <w:pStyle w:val="BodyText"/>
      </w:pPr>
      <w:r>
        <w:t xml:space="preserve">Cheek, G., N. Inoue, S. Goodnick, A. Genis, C. Wilmsen, and J. B. DuBow. 1978.</w:t>
      </w:r>
      <w:r>
        <w:t xml:space="preserve"> </w:t>
      </w:r>
      <w:r>
        <w:t xml:space="preserve">“</w:t>
      </w:r>
      <w:r>
        <w:t xml:space="preserve">Fabrication and Characterization of Indium Tin Oxide (</w:t>
      </w:r>
      <w:r>
        <w:t xml:space="preserve">ITO</w:t>
      </w:r>
      <w:r>
        <w:t xml:space="preserve">)/Polycrystalline Silicon Solar Cells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Applied Physics Letters</w:t>
      </w:r>
      <w:r>
        <w:t xml:space="preserve"> </w:t>
      </w:r>
      <w:r>
        <w:t xml:space="preserve">33 (7).</w:t>
      </w:r>
      <w:r>
        <w:t xml:space="preserve"> </w:t>
      </w:r>
      <w:r>
        <w:t xml:space="preserve">AIP</w:t>
      </w:r>
      <w:r>
        <w:t xml:space="preserve"> </w:t>
      </w:r>
      <w:r>
        <w:t xml:space="preserve">Publishing: 643–45. doi:10.1063/1.90448.</w:t>
      </w:r>
    </w:p>
    <w:p>
      <w:pPr>
        <w:pStyle w:val="BodyText"/>
      </w:pPr>
      <w:r>
        <w:t xml:space="preserve">Saim, H.B., and D.S. Campbell. 1987.</w:t>
      </w:r>
      <w:r>
        <w:t xml:space="preserve"> </w:t>
      </w:r>
      <w:r>
        <w:t xml:space="preserve">“</w:t>
      </w:r>
      <w:r>
        <w:t xml:space="preserve">Properties of Indium-Tin-Oxide (</w:t>
      </w:r>
      <w:r>
        <w:t xml:space="preserve">ITO</w:t>
      </w:r>
      <w:r>
        <w:t xml:space="preserve">)/Silicon Heterojunction Solar Cells by Thick-Film Techniques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Solar Energy Materials</w:t>
      </w:r>
      <w:r>
        <w:t xml:space="preserve"> </w:t>
      </w:r>
      <w:r>
        <w:t xml:space="preserve">15 (4). Elsevier</w:t>
      </w:r>
      <w:r>
        <w:t xml:space="preserve"> </w:t>
      </w:r>
      <w:r>
        <w:t xml:space="preserve">BV</w:t>
      </w:r>
      <w:r>
        <w:t xml:space="preserve">: 249–60. doi:10.1016/0165-1633(87)90040-2.</w:t>
      </w:r>
    </w:p>
    <w:p>
      <w:pPr>
        <w:pStyle w:val="BodyText"/>
      </w:pPr>
      <w:r>
        <w:t xml:space="preserve">Yu, Ze, Ishanie R Perera, Torben Daeneke, Satoshi Makuta, Yasuhiro Tachibana, Jacek J Jasieniak, Amaresh Mishra, Peter Bäuerle, Leone Spiccia, and Udo Bach. 2016.</w:t>
      </w:r>
      <w:r>
        <w:t xml:space="preserve"> </w:t>
      </w:r>
      <w:r>
        <w:t xml:space="preserve">“</w:t>
      </w:r>
      <w:r>
        <w:t xml:space="preserve">Indium Tin Oxide as a Semiconductor Material in Efficient p-Type Dye-Sensitized Solar Cells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NPG</w:t>
      </w:r>
      <w:r>
        <w:rPr>
          <w:i/>
        </w:rPr>
        <w:t xml:space="preserve"> </w:t>
      </w:r>
      <w:r>
        <w:rPr>
          <w:i/>
        </w:rPr>
        <w:t xml:space="preserve">Asia Materials</w:t>
      </w:r>
      <w:r>
        <w:t xml:space="preserve"> </w:t>
      </w:r>
      <w:r>
        <w:t xml:space="preserve">8 (9). Springer Nature: e305–e305. doi:10.1038/am.2016.89.</w:t>
      </w:r>
    </w:p>
    <w:p>
      <w:pPr>
        <w:pStyle w:val="BodyText"/>
      </w:pPr>
      <w:r>
        <w:t xml:space="preserve">Galstian, T., O. Sova, K. Asatryan, V. Presniakov, A. Zohrabyan, and M. Evensen. 2017.</w:t>
      </w:r>
      <w:r>
        <w:t xml:space="preserve"> </w:t>
      </w:r>
      <w:r>
        <w:t xml:space="preserve">“</w:t>
      </w:r>
      <w:r>
        <w:t xml:space="preserve">Optical Camera with Liquid Crystal Autofocus Lens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Optics Express</w:t>
      </w:r>
      <w:r>
        <w:t xml:space="preserve"> </w:t>
      </w:r>
      <w:r>
        <w:t xml:space="preserve">25 (24). The Optical Society: 29945. doi:10.1364/oe.25.029945.</w:t>
      </w:r>
    </w:p>
    <w:p>
      <w:pPr>
        <w:pStyle w:val="BodyText"/>
      </w:pPr>
      <w:r>
        <w:t xml:space="preserve">Ishibashi, S., Y. Higuchi, Y. Ota, and K. Nakamura. 1990.</w:t>
      </w:r>
      <w:r>
        <w:t xml:space="preserve"> </w:t>
      </w:r>
      <w:r>
        <w:t xml:space="preserve">“</w:t>
      </w:r>
      <w:r>
        <w:t xml:space="preserve">Low Resistivity IndiumTin Oxide Transparent Conductive Films.</w:t>
      </w:r>
      <w:r>
        <w:t xml:space="preserve"> </w:t>
      </w:r>
      <w:r>
        <w:t xml:space="preserve">II</w:t>
      </w:r>
      <w:r>
        <w:t xml:space="preserve">. Effect of Sputtering Voltage on Electrical Property of Films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Vacuum Science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Technology A: Vacuum Surfaces, and Films</w:t>
      </w:r>
      <w:r>
        <w:t xml:space="preserve"> </w:t>
      </w:r>
      <w:r>
        <w:t xml:space="preserve">8 (3). American Vacuum Society: 1403–6. doi:10.1116/1.576890.</w:t>
      </w:r>
    </w:p>
    <w:p>
      <w:pPr>
        <w:pStyle w:val="BodyText"/>
      </w:pPr>
      <w:r>
        <w:t xml:space="preserve">Sawada, Masato, Masatoshi Higuchi, Susumu Kondo, and Hiroyasu Saka. 2001.</w:t>
      </w:r>
      <w:r>
        <w:t xml:space="preserve"> </w:t>
      </w:r>
      <w:r>
        <w:t xml:space="preserve">“</w:t>
      </w:r>
      <w:r>
        <w:t xml:space="preserve">Characteristics of Indium-Tin-Oxide/Silver/Indium-Tin-Oxide Sandwich Films and Their Application to Simple-Matrix Liquid-Crystal Displays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Japanese Journal of Applied Physics</w:t>
      </w:r>
      <w:r>
        <w:t xml:space="preserve"> </w:t>
      </w:r>
      <w:r>
        <w:t xml:space="preserve">40 (Part 1 No. 5A). Japan Society of Applied Physics: 3332–36. doi:10.1143/jjap.40.3332.</w:t>
      </w:r>
    </w:p>
    <w:p>
      <w:pPr>
        <w:pStyle w:val="BodyText"/>
      </w:pPr>
      <w:r>
        <w:t xml:space="preserve">Yasrebi, Navid, Behrang Bagheri, Payam Yazdanfar, Bizhan Rashidian, and Pezhman Sasanpour. 2014.</w:t>
      </w:r>
      <w:r>
        <w:t xml:space="preserve"> </w:t>
      </w:r>
      <w:r>
        <w:t xml:space="preserve">“</w:t>
      </w:r>
      <w:r>
        <w:t xml:space="preserve">Optimization of Sputtering Parameters for the Deposition of Low Resistivity Indium Tin Oxide Thin Films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Acta Metallurgica Sinica (English Letters)</w:t>
      </w:r>
      <w:r>
        <w:t xml:space="preserve"> </w:t>
      </w:r>
      <w:r>
        <w:t xml:space="preserve">27 (2). Springer: 324–30.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90dea5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62e4fdd7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of experiments: optimisation of an ITO sputtering recipe</dc:title>
  <dc:creator>Florent-Valéry Coen; Damien Maillard; Matthias Neuenschwander</dc:creator>
  <dcterms:created xsi:type="dcterms:W3CDTF">2018-07-02T12:40:39Z</dcterms:created>
  <dcterms:modified xsi:type="dcterms:W3CDTF">2018-07-02T12:40:39Z</dcterms:modified>
</cp:coreProperties>
</file>