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6.png" ContentType="image/png"/>
  <Override PartName="/word/media/rId46.png" ContentType="image/png"/>
  <Override PartName="/word/media/rId48.png" ContentType="image/png"/>
  <Override PartName="/word/media/rId52.png" ContentType="image/png"/>
  <Override PartName="/word/media/rId55.png" ContentType="image/png"/>
  <Override PartName="/word/media/rId3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Distinguishing</w:t>
      </w:r>
      <w:r>
        <w:t xml:space="preserve"> </w:t>
      </w:r>
      <w:r>
        <w:t xml:space="preserve">Type</w:t>
      </w:r>
      <w:r>
        <w:t xml:space="preserve"> </w:t>
      </w:r>
      <w:r>
        <w:t xml:space="preserve">II</w:t>
      </w:r>
      <w:r>
        <w:t xml:space="preserve"> </w:t>
      </w:r>
      <w:r>
        <w:t xml:space="preserve">Focal</w:t>
      </w:r>
      <w:r>
        <w:t xml:space="preserve"> </w:t>
      </w:r>
      <w:r>
        <w:t xml:space="preserve">Cortical</w:t>
      </w:r>
      <w:r>
        <w:t xml:space="preserve"> </w:t>
      </w:r>
      <w:r>
        <w:t xml:space="preserve">Dysplasias</w:t>
      </w:r>
      <w:r>
        <w:t xml:space="preserve"> </w:t>
      </w:r>
      <w:r>
        <w:t xml:space="preserve">from</w:t>
      </w:r>
      <w:r>
        <w:t xml:space="preserve"> </w:t>
      </w:r>
      <w:r>
        <w:t xml:space="preserve">Normal</w:t>
      </w:r>
      <w:r>
        <w:t xml:space="preserve"> </w:t>
      </w:r>
      <w:r>
        <w:t xml:space="preserve">Cortex:</w:t>
      </w:r>
      <w:r>
        <w:t xml:space="preserve"> </w:t>
      </w:r>
      <w:r>
        <w:t xml:space="preserve">A</w:t>
      </w:r>
      <w:r>
        <w:t xml:space="preserve"> </w:t>
      </w:r>
      <w:r>
        <w:t xml:space="preserve">Novel</w:t>
      </w:r>
      <w:r>
        <w:t xml:space="preserve"> </w:t>
      </w:r>
      <w:r>
        <w:t xml:space="preserve">Normative</w:t>
      </w:r>
      <w:r>
        <w:t xml:space="preserve"> </w:t>
      </w:r>
      <w:r>
        <w:t xml:space="preserve">Modeling</w:t>
      </w:r>
      <w:r>
        <w:t xml:space="preserve"> </w:t>
      </w:r>
      <w:r>
        <w:t xml:space="preserve">Approach</w:t>
      </w:r>
    </w:p>
    <w:p>
      <w:pPr>
        <w:pStyle w:val="Author"/>
      </w:pPr>
      <w:r>
        <w:t xml:space="preserve">Kathryn</w:t>
      </w:r>
      <w:r>
        <w:t xml:space="preserve"> </w:t>
      </w:r>
      <w:r>
        <w:t xml:space="preserve">Snyder</w:t>
      </w:r>
    </w:p>
    <w:p>
      <w:pPr>
        <w:pStyle w:val="Author"/>
      </w:pPr>
      <w:r>
        <w:t xml:space="preserve">Emily</w:t>
      </w:r>
      <w:r>
        <w:t xml:space="preserve"> </w:t>
      </w:r>
      <w:r>
        <w:t xml:space="preserve">P.</w:t>
      </w:r>
      <w:r>
        <w:t xml:space="preserve"> </w:t>
      </w:r>
      <w:r>
        <w:t xml:space="preserve">Whitehead</w:t>
      </w:r>
    </w:p>
    <w:p>
      <w:pPr>
        <w:pStyle w:val="Author"/>
      </w:pPr>
      <w:r>
        <w:t xml:space="preserve">William</w:t>
      </w:r>
      <w:r>
        <w:t xml:space="preserve"> </w:t>
      </w:r>
      <w:r>
        <w:t xml:space="preserve">H.</w:t>
      </w:r>
      <w:r>
        <w:t xml:space="preserve"> </w:t>
      </w:r>
      <w:r>
        <w:t xml:space="preserve">Theodore</w:t>
      </w:r>
    </w:p>
    <w:p>
      <w:pPr>
        <w:pStyle w:val="Author"/>
      </w:pPr>
      <w:r>
        <w:t xml:space="preserve">Kareem</w:t>
      </w:r>
      <w:r>
        <w:t xml:space="preserve"> </w:t>
      </w:r>
      <w:r>
        <w:t xml:space="preserve">A.</w:t>
      </w:r>
      <w:r>
        <w:t xml:space="preserve"> </w:t>
      </w:r>
      <w:r>
        <w:t xml:space="preserve">Zaghloul</w:t>
      </w:r>
    </w:p>
    <w:p>
      <w:pPr>
        <w:pStyle w:val="Author"/>
      </w:pPr>
      <w:r>
        <w:t xml:space="preserve">Souheil</w:t>
      </w:r>
      <w:r>
        <w:t xml:space="preserve"> </w:t>
      </w:r>
      <w:r>
        <w:t xml:space="preserve">J.</w:t>
      </w:r>
      <w:r>
        <w:t xml:space="preserve"> </w:t>
      </w:r>
      <w:r>
        <w:t xml:space="preserve">Inati</w:t>
      </w:r>
    </w:p>
    <w:p>
      <w:pPr>
        <w:pStyle w:val="Author"/>
      </w:pPr>
      <w:r>
        <w:t xml:space="preserve">Sara</w:t>
      </w:r>
      <w:r>
        <w:t xml:space="preserve"> </w:t>
      </w:r>
      <w:r>
        <w:t xml:space="preserve">K.</w:t>
      </w:r>
      <w:r>
        <w:t xml:space="preserve"> </w:t>
      </w:r>
      <w:r>
        <w:t xml:space="preserve">Inati</w:t>
      </w:r>
    </w:p>
    <w:p>
      <w:pPr>
        <w:pStyle w:val="Abstract"/>
      </w:pPr>
      <w:r>
        <w:t xml:space="preserve">Objective:</w:t>
      </w:r>
      <w:r>
        <w:t xml:space="preserve"> </w:t>
      </w:r>
      <w:r>
        <w:t xml:space="preserve">Focal</w:t>
      </w:r>
      <w:r>
        <w:t xml:space="preserve"> </w:t>
      </w:r>
      <w:r>
        <w:t xml:space="preserve">cortical</w:t>
      </w:r>
      <w:r>
        <w:t xml:space="preserve"> </w:t>
      </w:r>
      <w:r>
        <w:t xml:space="preserve">dysplasias</w:t>
      </w:r>
      <w:r>
        <w:t xml:space="preserve"> </w:t>
      </w:r>
      <w:r>
        <w:t xml:space="preserve">(FCDs)</w:t>
      </w:r>
      <w:r>
        <w:t xml:space="preserve"> </w:t>
      </w:r>
      <w:r>
        <w:t xml:space="preserve">are</w:t>
      </w:r>
      <w:r>
        <w:t xml:space="preserve"> </w:t>
      </w:r>
      <w:r>
        <w:t xml:space="preserve">a</w:t>
      </w:r>
      <w:r>
        <w:t xml:space="preserve"> </w:t>
      </w:r>
      <w:r>
        <w:t xml:space="preserve">common</w:t>
      </w:r>
      <w:r>
        <w:t xml:space="preserve"> </w:t>
      </w:r>
      <w:r>
        <w:t xml:space="preserve">cause</w:t>
      </w:r>
      <w:r>
        <w:t xml:space="preserve"> </w:t>
      </w:r>
      <w:r>
        <w:t xml:space="preserve">of</w:t>
      </w:r>
      <w:r>
        <w:t xml:space="preserve"> </w:t>
      </w:r>
      <w:r>
        <w:t xml:space="preserve">apparently</w:t>
      </w:r>
      <w:r>
        <w:t xml:space="preserve"> </w:t>
      </w:r>
      <w:r>
        <w:t xml:space="preserve">non-lesional</w:t>
      </w:r>
      <w:r>
        <w:t xml:space="preserve"> </w:t>
      </w:r>
      <w:r>
        <w:t xml:space="preserve">drug-resistant</w:t>
      </w:r>
      <w:r>
        <w:t xml:space="preserve"> </w:t>
      </w:r>
      <w:r>
        <w:t xml:space="preserve">focal</w:t>
      </w:r>
      <w:r>
        <w:t xml:space="preserve"> </w:t>
      </w:r>
      <w:r>
        <w:t xml:space="preserve">epilepsy.</w:t>
      </w:r>
      <w:r>
        <w:t xml:space="preserve"> </w:t>
      </w:r>
      <w:r>
        <w:t xml:space="preserve">Visual</w:t>
      </w:r>
      <w:r>
        <w:t xml:space="preserve"> </w:t>
      </w:r>
      <w:r>
        <w:t xml:space="preserve">detection</w:t>
      </w:r>
      <w:r>
        <w:t xml:space="preserve"> </w:t>
      </w:r>
      <w:r>
        <w:t xml:space="preserve">of</w:t>
      </w:r>
      <w:r>
        <w:t xml:space="preserve"> </w:t>
      </w:r>
      <w:r>
        <w:t xml:space="preserve">subtle</w:t>
      </w:r>
      <w:r>
        <w:t xml:space="preserve"> </w:t>
      </w:r>
      <w:r>
        <w:t xml:space="preserve">FCDs</w:t>
      </w:r>
      <w:r>
        <w:t xml:space="preserve"> </w:t>
      </w:r>
      <w:r>
        <w:t xml:space="preserve">on</w:t>
      </w:r>
      <w:r>
        <w:t xml:space="preserve"> </w:t>
      </w:r>
      <w:r>
        <w:t xml:space="preserve">MRI</w:t>
      </w:r>
      <w:r>
        <w:t xml:space="preserve"> </w:t>
      </w:r>
      <w:r>
        <w:t xml:space="preserve">is</w:t>
      </w:r>
      <w:r>
        <w:t xml:space="preserve"> </w:t>
      </w:r>
      <w:r>
        <w:t xml:space="preserve">clinically</w:t>
      </w:r>
      <w:r>
        <w:t xml:space="preserve"> </w:t>
      </w:r>
      <w:r>
        <w:t xml:space="preserve">important</w:t>
      </w:r>
      <w:r>
        <w:t xml:space="preserve"> </w:t>
      </w:r>
      <w:r>
        <w:t xml:space="preserve">and</w:t>
      </w:r>
      <w:r>
        <w:t xml:space="preserve"> </w:t>
      </w:r>
      <w:r>
        <w:t xml:space="preserve">often</w:t>
      </w:r>
      <w:r>
        <w:t xml:space="preserve"> </w:t>
      </w:r>
      <w:r>
        <w:t xml:space="preserve">challenging.</w:t>
      </w:r>
      <w:r>
        <w:t xml:space="preserve"> </w:t>
      </w:r>
      <w:r>
        <w:t xml:space="preserve">In</w:t>
      </w:r>
      <w:r>
        <w:t xml:space="preserve"> </w:t>
      </w:r>
      <w:r>
        <w:t xml:space="preserve">this</w:t>
      </w:r>
      <w:r>
        <w:t xml:space="preserve"> </w:t>
      </w:r>
      <w:r>
        <w:t xml:space="preserve">study,</w:t>
      </w:r>
      <w:r>
        <w:t xml:space="preserve"> </w:t>
      </w:r>
      <w:r>
        <w:t xml:space="preserve">we</w:t>
      </w:r>
      <w:r>
        <w:t xml:space="preserve"> </w:t>
      </w:r>
      <w:r>
        <w:t xml:space="preserve">implemented</w:t>
      </w:r>
      <w:r>
        <w:t xml:space="preserve"> </w:t>
      </w:r>
      <w:r>
        <w:t xml:space="preserve">a</w:t>
      </w:r>
      <w:r>
        <w:t xml:space="preserve"> </w:t>
      </w:r>
      <w:r>
        <w:t xml:space="preserve">set</w:t>
      </w:r>
      <w:r>
        <w:t xml:space="preserve"> </w:t>
      </w:r>
      <w:r>
        <w:t xml:space="preserve">of</w:t>
      </w:r>
      <w:r>
        <w:t xml:space="preserve"> </w:t>
      </w:r>
      <w:r>
        <w:t xml:space="preserve">3D</w:t>
      </w:r>
      <w:r>
        <w:t xml:space="preserve"> </w:t>
      </w:r>
      <w:r>
        <w:t xml:space="preserve">local</w:t>
      </w:r>
      <w:r>
        <w:t xml:space="preserve"> </w:t>
      </w:r>
      <w:r>
        <w:t xml:space="preserve">image</w:t>
      </w:r>
      <w:r>
        <w:t xml:space="preserve"> </w:t>
      </w:r>
      <w:r>
        <w:t xml:space="preserve">filters</w:t>
      </w:r>
      <w:r>
        <w:t xml:space="preserve"> </w:t>
      </w:r>
      <w:r>
        <w:t xml:space="preserve">adapted</w:t>
      </w:r>
      <w:r>
        <w:t xml:space="preserve"> </w:t>
      </w:r>
      <w:r>
        <w:t xml:space="preserve">from</w:t>
      </w:r>
      <w:r>
        <w:t xml:space="preserve"> </w:t>
      </w:r>
      <w:r>
        <w:t xml:space="preserve">computer</w:t>
      </w:r>
      <w:r>
        <w:t xml:space="preserve"> </w:t>
      </w:r>
      <w:r>
        <w:t xml:space="preserve">vision</w:t>
      </w:r>
      <w:r>
        <w:t xml:space="preserve"> </w:t>
      </w:r>
      <w:r>
        <w:t xml:space="preserve">applications</w:t>
      </w:r>
      <w:r>
        <w:t xml:space="preserve"> </w:t>
      </w:r>
      <w:r>
        <w:t xml:space="preserve">to</w:t>
      </w:r>
      <w:r>
        <w:t xml:space="preserve"> </w:t>
      </w:r>
      <w:r>
        <w:t xml:space="preserve">describe</w:t>
      </w:r>
      <w:r>
        <w:t xml:space="preserve"> </w:t>
      </w:r>
      <w:r>
        <w:t xml:space="preserve">the</w:t>
      </w:r>
      <w:r>
        <w:t xml:space="preserve"> </w:t>
      </w:r>
      <w:r>
        <w:t xml:space="preserve">normal</w:t>
      </w:r>
      <w:r>
        <w:t xml:space="preserve"> </w:t>
      </w:r>
      <w:r>
        <w:t xml:space="preserve">cortex</w:t>
      </w:r>
      <w:r>
        <w:t xml:space="preserve"> </w:t>
      </w:r>
      <w:r>
        <w:t xml:space="preserve">surrounding</w:t>
      </w:r>
      <w:r>
        <w:t xml:space="preserve"> </w:t>
      </w:r>
      <w:r>
        <w:t xml:space="preserve">the</w:t>
      </w:r>
      <w:r>
        <w:t xml:space="preserve"> </w:t>
      </w:r>
      <w:r>
        <w:t xml:space="preserve">gray-white</w:t>
      </w:r>
      <w:r>
        <w:t xml:space="preserve"> </w:t>
      </w:r>
      <w:r>
        <w:t xml:space="preserve">junction.</w:t>
      </w:r>
      <w:r>
        <w:t xml:space="preserve"> </w:t>
      </w:r>
      <w:r>
        <w:t xml:space="preserve">We</w:t>
      </w:r>
      <w:r>
        <w:t xml:space="preserve"> </w:t>
      </w:r>
      <w:r>
        <w:t xml:space="preserve">created</w:t>
      </w:r>
      <w:r>
        <w:t xml:space="preserve"> </w:t>
      </w:r>
      <w:r>
        <w:t xml:space="preserve">a</w:t>
      </w:r>
      <w:r>
        <w:t xml:space="preserve"> </w:t>
      </w:r>
      <w:r>
        <w:t xml:space="preserve">normative</w:t>
      </w:r>
      <w:r>
        <w:t xml:space="preserve"> </w:t>
      </w:r>
      <w:r>
        <w:t xml:space="preserve">model</w:t>
      </w:r>
      <w:r>
        <w:t xml:space="preserve"> </w:t>
      </w:r>
      <w:r>
        <w:t xml:space="preserve">that</w:t>
      </w:r>
      <w:r>
        <w:t xml:space="preserve"> </w:t>
      </w:r>
      <w:r>
        <w:t xml:space="preserve">serves</w:t>
      </w:r>
      <w:r>
        <w:t xml:space="preserve"> </w:t>
      </w:r>
      <w:r>
        <w:t xml:space="preserve">as</w:t>
      </w:r>
      <w:r>
        <w:t xml:space="preserve"> </w:t>
      </w:r>
      <w:r>
        <w:t xml:space="preserve">the</w:t>
      </w:r>
      <w:r>
        <w:t xml:space="preserve"> </w:t>
      </w:r>
      <w:r>
        <w:t xml:space="preserve">basis</w:t>
      </w:r>
      <w:r>
        <w:t xml:space="preserve"> </w:t>
      </w:r>
      <w:r>
        <w:t xml:space="preserve">for</w:t>
      </w:r>
      <w:r>
        <w:t xml:space="preserve"> </w:t>
      </w:r>
      <w:r>
        <w:t xml:space="preserve">a</w:t>
      </w:r>
      <w:r>
        <w:t xml:space="preserve"> </w:t>
      </w:r>
      <w:r>
        <w:t xml:space="preserve">novel</w:t>
      </w:r>
      <w:r>
        <w:t xml:space="preserve"> </w:t>
      </w:r>
      <w:r>
        <w:t xml:space="preserve">multivariate</w:t>
      </w:r>
      <w:r>
        <w:t xml:space="preserve"> </w:t>
      </w:r>
      <w:r>
        <w:t xml:space="preserve">outlier</w:t>
      </w:r>
      <w:r>
        <w:t xml:space="preserve"> </w:t>
      </w:r>
      <w:r>
        <w:t xml:space="preserve">detection</w:t>
      </w:r>
      <w:r>
        <w:t xml:space="preserve"> </w:t>
      </w:r>
      <w:r>
        <w:t xml:space="preserve">method</w:t>
      </w:r>
      <w:r>
        <w:t xml:space="preserve"> </w:t>
      </w:r>
      <w:r>
        <w:t xml:space="preserve">for</w:t>
      </w:r>
      <w:r>
        <w:t xml:space="preserve"> </w:t>
      </w:r>
      <w:r>
        <w:t xml:space="preserve">detecting</w:t>
      </w:r>
      <w:r>
        <w:t xml:space="preserve"> </w:t>
      </w:r>
      <w:r>
        <w:t xml:space="preserve">FCDs.</w:t>
      </w:r>
      <w:r>
        <w:t xml:space="preserve"> </w:t>
      </w:r>
      <w:r>
        <w:t xml:space="preserve">Methods:</w:t>
      </w:r>
      <w:r>
        <w:t xml:space="preserve"> </w:t>
      </w:r>
      <w:r>
        <w:t xml:space="preserve">Standardized</w:t>
      </w:r>
      <w:r>
        <w:t xml:space="preserve"> </w:t>
      </w:r>
      <w:r>
        <w:t xml:space="preserve">MPRAGE,</w:t>
      </w:r>
      <w:r>
        <w:t xml:space="preserve"> </w:t>
      </w:r>
      <w:r>
        <w:t xml:space="preserve">T2</w:t>
      </w:r>
      <w:r>
        <w:t xml:space="preserve"> </w:t>
      </w:r>
      <w:r>
        <w:t xml:space="preserve">and</w:t>
      </w:r>
      <w:r>
        <w:t xml:space="preserve"> </w:t>
      </w:r>
      <w:r>
        <w:t xml:space="preserve">FLAIR</w:t>
      </w:r>
      <w:r>
        <w:t xml:space="preserve"> </w:t>
      </w:r>
      <w:r>
        <w:t xml:space="preserve">MR</w:t>
      </w:r>
      <w:r>
        <w:t xml:space="preserve"> </w:t>
      </w:r>
      <w:r>
        <w:t xml:space="preserve">images</w:t>
      </w:r>
      <w:r>
        <w:t xml:space="preserve"> </w:t>
      </w:r>
      <w:r>
        <w:t xml:space="preserve">were</w:t>
      </w:r>
      <w:r>
        <w:t xml:space="preserve"> </w:t>
      </w:r>
      <w:r>
        <w:t xml:space="preserve">obtained</w:t>
      </w:r>
      <w:r>
        <w:t xml:space="preserve"> </w:t>
      </w:r>
      <w:r>
        <w:t xml:space="preserve">in</w:t>
      </w:r>
      <w:r>
        <w:t xml:space="preserve"> </w:t>
      </w:r>
      <w:r>
        <w:t xml:space="preserve">15</w:t>
      </w:r>
      <w:r>
        <w:t xml:space="preserve"> </w:t>
      </w:r>
      <w:r>
        <w:t xml:space="preserve">patients</w:t>
      </w:r>
      <w:r>
        <w:t xml:space="preserve"> </w:t>
      </w:r>
      <w:r>
        <w:t xml:space="preserve">with</w:t>
      </w:r>
      <w:r>
        <w:t xml:space="preserve"> </w:t>
      </w:r>
      <w:r>
        <w:t xml:space="preserve">radiologically</w:t>
      </w:r>
      <w:r>
        <w:t xml:space="preserve"> </w:t>
      </w:r>
      <w:r>
        <w:t xml:space="preserve">or</w:t>
      </w:r>
      <w:r>
        <w:t xml:space="preserve"> </w:t>
      </w:r>
      <w:r>
        <w:t xml:space="preserve">histologically</w:t>
      </w:r>
      <w:r>
        <w:t xml:space="preserve"> </w:t>
      </w:r>
      <w:r>
        <w:t xml:space="preserve">diagnosed</w:t>
      </w:r>
      <w:r>
        <w:t xml:space="preserve"> </w:t>
      </w:r>
      <w:r>
        <w:t xml:space="preserve">FCDs</w:t>
      </w:r>
      <w:r>
        <w:t xml:space="preserve"> </w:t>
      </w:r>
      <w:r>
        <w:t xml:space="preserve">and</w:t>
      </w:r>
      <w:r>
        <w:t xml:space="preserve"> </w:t>
      </w:r>
      <w:r>
        <w:t xml:space="preserve">30</w:t>
      </w:r>
      <w:r>
        <w:t xml:space="preserve"> </w:t>
      </w:r>
      <w:r>
        <w:t xml:space="preserve">healthy</w:t>
      </w:r>
      <w:r>
        <w:t xml:space="preserve"> </w:t>
      </w:r>
      <w:r>
        <w:t xml:space="preserve">volunteers.</w:t>
      </w:r>
      <w:r>
        <w:t xml:space="preserve"> </w:t>
      </w:r>
      <w:r>
        <w:t xml:space="preserve">Multiscale</w:t>
      </w:r>
      <w:r>
        <w:t xml:space="preserve"> </w:t>
      </w:r>
      <w:r>
        <w:t xml:space="preserve">3D</w:t>
      </w:r>
      <w:r>
        <w:t xml:space="preserve"> </w:t>
      </w:r>
      <w:r>
        <w:t xml:space="preserve">local</w:t>
      </w:r>
      <w:r>
        <w:t xml:space="preserve"> </w:t>
      </w:r>
      <w:r>
        <w:t xml:space="preserve">image</w:t>
      </w:r>
      <w:r>
        <w:t xml:space="preserve"> </w:t>
      </w:r>
      <w:r>
        <w:t xml:space="preserve">filters</w:t>
      </w:r>
      <w:r>
        <w:t xml:space="preserve"> </w:t>
      </w:r>
      <w:r>
        <w:t xml:space="preserve">were</w:t>
      </w:r>
      <w:r>
        <w:t xml:space="preserve"> </w:t>
      </w:r>
      <w:r>
        <w:t xml:space="preserve">computed</w:t>
      </w:r>
      <w:r>
        <w:t xml:space="preserve"> </w:t>
      </w:r>
      <w:r>
        <w:t xml:space="preserve">for</w:t>
      </w:r>
      <w:r>
        <w:t xml:space="preserve"> </w:t>
      </w:r>
      <w:r>
        <w:t xml:space="preserve">each</w:t>
      </w:r>
      <w:r>
        <w:t xml:space="preserve"> </w:t>
      </w:r>
      <w:r>
        <w:t xml:space="preserve">MR</w:t>
      </w:r>
      <w:r>
        <w:t xml:space="preserve"> </w:t>
      </w:r>
      <w:r>
        <w:t xml:space="preserve">contrast</w:t>
      </w:r>
      <w:r>
        <w:t xml:space="preserve"> </w:t>
      </w:r>
      <w:r>
        <w:t xml:space="preserve">then</w:t>
      </w:r>
      <w:r>
        <w:t xml:space="preserve"> </w:t>
      </w:r>
      <w:r>
        <w:t xml:space="preserve">sampled</w:t>
      </w:r>
      <w:r>
        <w:t xml:space="preserve"> </w:t>
      </w:r>
      <w:r>
        <w:t xml:space="preserve">onto</w:t>
      </w:r>
      <w:r>
        <w:t xml:space="preserve"> </w:t>
      </w:r>
      <w:r>
        <w:t xml:space="preserve">the</w:t>
      </w:r>
      <w:r>
        <w:t xml:space="preserve"> </w:t>
      </w:r>
      <w:r>
        <w:t xml:space="preserve">gray-white</w:t>
      </w:r>
      <w:r>
        <w:t xml:space="preserve"> </w:t>
      </w:r>
      <w:r>
        <w:t xml:space="preserve">junction</w:t>
      </w:r>
      <w:r>
        <w:t xml:space="preserve"> </w:t>
      </w:r>
      <w:r>
        <w:t xml:space="preserve">surface.</w:t>
      </w:r>
      <w:r>
        <w:t xml:space="preserve"> </w:t>
      </w:r>
      <w:r>
        <w:t xml:space="preserve">We</w:t>
      </w:r>
      <w:r>
        <w:t xml:space="preserve"> </w:t>
      </w:r>
      <w:r>
        <w:t xml:space="preserve">created</w:t>
      </w:r>
      <w:r>
        <w:t xml:space="preserve"> </w:t>
      </w:r>
      <w:r>
        <w:t xml:space="preserve">a</w:t>
      </w:r>
      <w:r>
        <w:t xml:space="preserve"> </w:t>
      </w:r>
      <w:r>
        <w:t xml:space="preserve">latent</w:t>
      </w:r>
      <w:r>
        <w:t xml:space="preserve"> </w:t>
      </w:r>
      <w:r>
        <w:t xml:space="preserve">representation</w:t>
      </w:r>
      <w:r>
        <w:t xml:space="preserve"> </w:t>
      </w:r>
      <w:r>
        <w:t xml:space="preserve">of</w:t>
      </w:r>
      <w:r>
        <w:t xml:space="preserve"> </w:t>
      </w:r>
      <w:r>
        <w:t xml:space="preserve">normal</w:t>
      </w:r>
      <w:r>
        <w:t xml:space="preserve"> </w:t>
      </w:r>
      <w:r>
        <w:t xml:space="preserve">cortical</w:t>
      </w:r>
      <w:r>
        <w:t xml:space="preserve"> </w:t>
      </w:r>
      <w:r>
        <w:t xml:space="preserve">variability</w:t>
      </w:r>
      <w:r>
        <w:t xml:space="preserve"> </w:t>
      </w:r>
      <w:r>
        <w:t xml:space="preserve">in</w:t>
      </w:r>
      <w:r>
        <w:t xml:space="preserve"> </w:t>
      </w:r>
      <w:r>
        <w:t xml:space="preserve">healthy</w:t>
      </w:r>
      <w:r>
        <w:t xml:space="preserve"> </w:t>
      </w:r>
      <w:r>
        <w:t xml:space="preserve">volunteers,</w:t>
      </w:r>
      <w:r>
        <w:t xml:space="preserve"> </w:t>
      </w:r>
      <w:r>
        <w:t xml:space="preserve">allowing</w:t>
      </w:r>
      <w:r>
        <w:t xml:space="preserve"> </w:t>
      </w:r>
      <w:r>
        <w:t xml:space="preserve">for</w:t>
      </w:r>
      <w:r>
        <w:t xml:space="preserve"> </w:t>
      </w:r>
      <w:r>
        <w:t xml:space="preserve">identification</w:t>
      </w:r>
      <w:r>
        <w:t xml:space="preserve"> </w:t>
      </w:r>
      <w:r>
        <w:t xml:space="preserve">of</w:t>
      </w:r>
      <w:r>
        <w:t xml:space="preserve"> </w:t>
      </w:r>
      <w:r>
        <w:t xml:space="preserve">outlier</w:t>
      </w:r>
      <w:r>
        <w:t xml:space="preserve"> </w:t>
      </w:r>
      <w:r>
        <w:t xml:space="preserve">regions</w:t>
      </w:r>
      <w:r>
        <w:t xml:space="preserve"> </w:t>
      </w:r>
      <w:r>
        <w:t xml:space="preserve">and</w:t>
      </w:r>
      <w:r>
        <w:t xml:space="preserve"> </w:t>
      </w:r>
      <w:r>
        <w:t xml:space="preserve">estimates</w:t>
      </w:r>
      <w:r>
        <w:t xml:space="preserve"> </w:t>
      </w:r>
      <w:r>
        <w:t xml:space="preserve">of</w:t>
      </w:r>
      <w:r>
        <w:t xml:space="preserve"> </w:t>
      </w:r>
      <w:r>
        <w:t xml:space="preserve">similarity</w:t>
      </w:r>
      <w:r>
        <w:t xml:space="preserve"> </w:t>
      </w:r>
      <w:r>
        <w:t xml:space="preserve">in</w:t>
      </w:r>
      <w:r>
        <w:t xml:space="preserve"> </w:t>
      </w:r>
      <w:r>
        <w:t xml:space="preserve">normal</w:t>
      </w:r>
      <w:r>
        <w:t xml:space="preserve"> </w:t>
      </w:r>
      <w:r>
        <w:t xml:space="preserve">cortex</w:t>
      </w:r>
      <w:r>
        <w:t xml:space="preserve"> </w:t>
      </w:r>
      <w:r>
        <w:t xml:space="preserve">and</w:t>
      </w:r>
      <w:r>
        <w:t xml:space="preserve"> </w:t>
      </w:r>
      <w:r>
        <w:t xml:space="preserve">FCD</w:t>
      </w:r>
      <w:r>
        <w:t xml:space="preserve"> </w:t>
      </w:r>
      <w:r>
        <w:t xml:space="preserve">lesions.</w:t>
      </w:r>
      <w:r>
        <w:t xml:space="preserve"> </w:t>
      </w:r>
      <w:r>
        <w:t xml:space="preserve">Following</w:t>
      </w:r>
      <w:r>
        <w:t xml:space="preserve"> </w:t>
      </w:r>
      <w:r>
        <w:t xml:space="preserve">local</w:t>
      </w:r>
      <w:r>
        <w:t xml:space="preserve"> </w:t>
      </w:r>
      <w:r>
        <w:t xml:space="preserve">normalization,</w:t>
      </w:r>
      <w:r>
        <w:t xml:space="preserve"> </w:t>
      </w:r>
      <w:r>
        <w:t xml:space="preserve">we</w:t>
      </w:r>
      <w:r>
        <w:t xml:space="preserve"> </w:t>
      </w:r>
      <w:r>
        <w:t xml:space="preserve">automatically</w:t>
      </w:r>
      <w:r>
        <w:t xml:space="preserve"> </w:t>
      </w:r>
      <w:r>
        <w:t xml:space="preserve">detected</w:t>
      </w:r>
      <w:r>
        <w:t xml:space="preserve"> </w:t>
      </w:r>
      <w:r>
        <w:t xml:space="preserve">FCD</w:t>
      </w:r>
      <w:r>
        <w:t xml:space="preserve"> </w:t>
      </w:r>
      <w:r>
        <w:t xml:space="preserve">lesions</w:t>
      </w:r>
      <w:r>
        <w:t xml:space="preserve"> </w:t>
      </w:r>
      <w:r>
        <w:t xml:space="preserve">based</w:t>
      </w:r>
      <w:r>
        <w:t xml:space="preserve"> </w:t>
      </w:r>
      <w:r>
        <w:t xml:space="preserve">on</w:t>
      </w:r>
      <w:r>
        <w:t xml:space="preserve"> </w:t>
      </w:r>
      <w:r>
        <w:t xml:space="preserve">projection</w:t>
      </w:r>
      <w:r>
        <w:t xml:space="preserve"> </w:t>
      </w:r>
      <w:r>
        <w:t xml:space="preserve">onto</w:t>
      </w:r>
      <w:r>
        <w:t xml:space="preserve"> </w:t>
      </w:r>
      <w:r>
        <w:t xml:space="preserve">the</w:t>
      </w:r>
      <w:r>
        <w:t xml:space="preserve"> </w:t>
      </w:r>
      <w:r>
        <w:t xml:space="preserve">mean</w:t>
      </w:r>
      <w:r>
        <w:t xml:space="preserve"> </w:t>
      </w:r>
      <w:r>
        <w:t xml:space="preserve">FCD</w:t>
      </w:r>
      <w:r>
        <w:t xml:space="preserve"> </w:t>
      </w:r>
      <w:r>
        <w:t xml:space="preserve">feature</w:t>
      </w:r>
      <w:r>
        <w:t xml:space="preserve"> </w:t>
      </w:r>
      <w:r>
        <w:t xml:space="preserve">vector.</w:t>
      </w:r>
      <w:r>
        <w:t xml:space="preserve"> </w:t>
      </w:r>
      <w:r>
        <w:t xml:space="preserve">Results:</w:t>
      </w:r>
      <w:r>
        <w:t xml:space="preserve"> </w:t>
      </w:r>
      <w:r>
        <w:t xml:space="preserve">In</w:t>
      </w:r>
      <w:r>
        <w:t xml:space="preserve"> </w:t>
      </w:r>
      <w:r>
        <w:t xml:space="preserve">our</w:t>
      </w:r>
      <w:r>
        <w:t xml:space="preserve"> </w:t>
      </w:r>
      <w:r>
        <w:t xml:space="preserve">normative</w:t>
      </w:r>
      <w:r>
        <w:t xml:space="preserve"> </w:t>
      </w:r>
      <w:r>
        <w:t xml:space="preserve">model,</w:t>
      </w:r>
      <w:r>
        <w:t xml:space="preserve"> </w:t>
      </w:r>
      <w:r>
        <w:t xml:space="preserve">atypical</w:t>
      </w:r>
      <w:r>
        <w:t xml:space="preserve"> </w:t>
      </w:r>
      <w:r>
        <w:t xml:space="preserve">cortical</w:t>
      </w:r>
      <w:r>
        <w:t xml:space="preserve"> </w:t>
      </w:r>
      <w:r>
        <w:t xml:space="preserve">regions</w:t>
      </w:r>
      <w:r>
        <w:t xml:space="preserve"> </w:t>
      </w:r>
      <w:r>
        <w:t xml:space="preserve">such</w:t>
      </w:r>
      <w:r>
        <w:t xml:space="preserve"> </w:t>
      </w:r>
      <w:r>
        <w:t xml:space="preserve">as</w:t>
      </w:r>
      <w:r>
        <w:t xml:space="preserve"> </w:t>
      </w:r>
      <w:r>
        <w:t xml:space="preserve">primary</w:t>
      </w:r>
      <w:r>
        <w:t xml:space="preserve"> </w:t>
      </w:r>
      <w:r>
        <w:t xml:space="preserve">sensorimotor</w:t>
      </w:r>
      <w:r>
        <w:t xml:space="preserve"> </w:t>
      </w:r>
      <w:r>
        <w:t xml:space="preserve">and</w:t>
      </w:r>
      <w:r>
        <w:t xml:space="preserve"> </w:t>
      </w:r>
      <w:r>
        <w:t xml:space="preserve">paralimbic</w:t>
      </w:r>
      <w:r>
        <w:t xml:space="preserve"> </w:t>
      </w:r>
      <w:r>
        <w:t xml:space="preserve">regions</w:t>
      </w:r>
      <w:r>
        <w:t xml:space="preserve"> </w:t>
      </w:r>
      <w:r>
        <w:t xml:space="preserve">are</w:t>
      </w:r>
      <w:r>
        <w:t xml:space="preserve"> </w:t>
      </w:r>
      <w:r>
        <w:t xml:space="preserve">outliers</w:t>
      </w:r>
      <w:r>
        <w:t xml:space="preserve"> </w:t>
      </w:r>
      <w:r>
        <w:t xml:space="preserve">with</w:t>
      </w:r>
      <w:r>
        <w:t xml:space="preserve"> </w:t>
      </w:r>
      <w:r>
        <w:t xml:space="preserve">similar</w:t>
      </w:r>
      <w:r>
        <w:t xml:space="preserve"> </w:t>
      </w:r>
      <w:r>
        <w:t xml:space="preserve">features</w:t>
      </w:r>
      <w:r>
        <w:t xml:space="preserve"> </w:t>
      </w:r>
      <w:r>
        <w:t xml:space="preserve">to</w:t>
      </w:r>
      <w:r>
        <w:t xml:space="preserve"> </w:t>
      </w:r>
      <w:r>
        <w:t xml:space="preserve">FCDs.</w:t>
      </w:r>
      <w:r>
        <w:t xml:space="preserve"> </w:t>
      </w:r>
      <w:r>
        <w:t xml:space="preserve">Our</w:t>
      </w:r>
      <w:r>
        <w:t xml:space="preserve"> </w:t>
      </w:r>
      <w:r>
        <w:t xml:space="preserve">constrained</w:t>
      </w:r>
      <w:r>
        <w:t xml:space="preserve"> </w:t>
      </w:r>
      <w:r>
        <w:t xml:space="preserve">outlier</w:t>
      </w:r>
      <w:r>
        <w:t xml:space="preserve"> </w:t>
      </w:r>
      <w:r>
        <w:t xml:space="preserve">detection</w:t>
      </w:r>
      <w:r>
        <w:t xml:space="preserve"> </w:t>
      </w:r>
      <w:r>
        <w:t xml:space="preserve">method</w:t>
      </w:r>
      <w:r>
        <w:t xml:space="preserve"> </w:t>
      </w:r>
      <w:r>
        <w:t xml:space="preserve">for</w:t>
      </w:r>
      <w:r>
        <w:t xml:space="preserve"> </w:t>
      </w:r>
      <w:r>
        <w:t xml:space="preserve">automated</w:t>
      </w:r>
      <w:r>
        <w:t xml:space="preserve"> </w:t>
      </w:r>
      <w:r>
        <w:t xml:space="preserve">FCD</w:t>
      </w:r>
      <w:r>
        <w:t xml:space="preserve"> </w:t>
      </w:r>
      <w:r>
        <w:t xml:space="preserve">detection</w:t>
      </w:r>
      <w:r>
        <w:t xml:space="preserve"> </w:t>
      </w:r>
      <w:r>
        <w:t xml:space="preserve">based</w:t>
      </w:r>
      <w:r>
        <w:t xml:space="preserve"> </w:t>
      </w:r>
      <w:r>
        <w:t xml:space="preserve">on</w:t>
      </w:r>
      <w:r>
        <w:t xml:space="preserve"> </w:t>
      </w:r>
      <w:r>
        <w:t xml:space="preserve">this</w:t>
      </w:r>
      <w:r>
        <w:t xml:space="preserve"> </w:t>
      </w:r>
      <w:r>
        <w:t xml:space="preserve">model</w:t>
      </w:r>
      <w:r>
        <w:t xml:space="preserve"> </w:t>
      </w:r>
      <w:r>
        <w:t xml:space="preserve">demonstrated</w:t>
      </w:r>
      <w:r>
        <w:t xml:space="preserve"> </w:t>
      </w:r>
      <w:r>
        <w:t xml:space="preserve">80%</w:t>
      </w:r>
      <w:r>
        <w:t xml:space="preserve"> </w:t>
      </w:r>
      <w:r>
        <w:t xml:space="preserve">sensitivity,</w:t>
      </w:r>
      <w:r>
        <w:t xml:space="preserve"> </w:t>
      </w:r>
      <w:r>
        <w:t xml:space="preserve">70%</w:t>
      </w:r>
      <w:r>
        <w:t xml:space="preserve"> </w:t>
      </w:r>
      <w:r>
        <w:t xml:space="preserve">specificity,</w:t>
      </w:r>
      <w:r>
        <w:t xml:space="preserve"> </w:t>
      </w:r>
      <w:r>
        <w:t xml:space="preserve">and</w:t>
      </w:r>
      <w:r>
        <w:t xml:space="preserve"> </w:t>
      </w:r>
      <w:r>
        <w:t xml:space="preserve">AUC</w:t>
      </w:r>
      <w:r>
        <w:t xml:space="preserve"> </w:t>
      </w:r>
      <w:r>
        <w:t xml:space="preserve">0.91.</w:t>
      </w:r>
      <w:r>
        <w:t xml:space="preserve"> </w:t>
      </w:r>
      <w:r>
        <w:t xml:space="preserve">Significance:</w:t>
      </w:r>
      <w:r>
        <w:t xml:space="preserve"> </w:t>
      </w:r>
      <w:r>
        <w:t xml:space="preserve">Our</w:t>
      </w:r>
      <w:r>
        <w:t xml:space="preserve"> </w:t>
      </w:r>
      <w:r>
        <w:t xml:space="preserve">normative</w:t>
      </w:r>
      <w:r>
        <w:t xml:space="preserve"> </w:t>
      </w:r>
      <w:r>
        <w:t xml:space="preserve">modeling</w:t>
      </w:r>
      <w:r>
        <w:t xml:space="preserve"> </w:t>
      </w:r>
      <w:r>
        <w:t xml:space="preserve">approach</w:t>
      </w:r>
      <w:r>
        <w:t xml:space="preserve"> </w:t>
      </w:r>
      <w:r>
        <w:t xml:space="preserve">allows</w:t>
      </w:r>
      <w:r>
        <w:t xml:space="preserve"> </w:t>
      </w:r>
      <w:r>
        <w:t xml:space="preserve">for</w:t>
      </w:r>
      <w:r>
        <w:t xml:space="preserve"> </w:t>
      </w:r>
      <w:r>
        <w:t xml:space="preserve">identification</w:t>
      </w:r>
      <w:r>
        <w:t xml:space="preserve"> </w:t>
      </w:r>
      <w:r>
        <w:t xml:space="preserve">of</w:t>
      </w:r>
      <w:r>
        <w:t xml:space="preserve"> </w:t>
      </w:r>
      <w:r>
        <w:t xml:space="preserve">known</w:t>
      </w:r>
      <w:r>
        <w:t xml:space="preserve"> </w:t>
      </w:r>
      <w:r>
        <w:t xml:space="preserve">atypical</w:t>
      </w:r>
      <w:r>
        <w:t xml:space="preserve"> </w:t>
      </w:r>
      <w:r>
        <w:t xml:space="preserve">regions</w:t>
      </w:r>
      <w:r>
        <w:t xml:space="preserve"> </w:t>
      </w:r>
      <w:r>
        <w:t xml:space="preserve">of</w:t>
      </w:r>
      <w:r>
        <w:t xml:space="preserve"> </w:t>
      </w:r>
      <w:r>
        <w:t xml:space="preserve">normal</w:t>
      </w:r>
      <w:r>
        <w:t xml:space="preserve"> </w:t>
      </w:r>
      <w:r>
        <w:t xml:space="preserve">cortex</w:t>
      </w:r>
      <w:r>
        <w:t xml:space="preserve"> </w:t>
      </w:r>
      <w:r>
        <w:t xml:space="preserve">as</w:t>
      </w:r>
      <w:r>
        <w:t xml:space="preserve"> </w:t>
      </w:r>
      <w:r>
        <w:t xml:space="preserve">well</w:t>
      </w:r>
      <w:r>
        <w:t xml:space="preserve"> </w:t>
      </w:r>
      <w:r>
        <w:t xml:space="preserve">as</w:t>
      </w:r>
      <w:r>
        <w:t xml:space="preserve"> </w:t>
      </w:r>
      <w:r>
        <w:t xml:space="preserve">FCD</w:t>
      </w:r>
      <w:r>
        <w:t xml:space="preserve"> </w:t>
      </w:r>
      <w:r>
        <w:t xml:space="preserve">lesions.</w:t>
      </w:r>
      <w:r>
        <w:t xml:space="preserve"> </w:t>
      </w:r>
      <w:r>
        <w:t xml:space="preserve">FCDs</w:t>
      </w:r>
      <w:r>
        <w:t xml:space="preserve"> </w:t>
      </w:r>
      <w:r>
        <w:t xml:space="preserve">appear</w:t>
      </w:r>
      <w:r>
        <w:t xml:space="preserve"> </w:t>
      </w:r>
      <w:r>
        <w:t xml:space="preserve">similar</w:t>
      </w:r>
      <w:r>
        <w:t xml:space="preserve"> </w:t>
      </w:r>
      <w:r>
        <w:t xml:space="preserve">to</w:t>
      </w:r>
      <w:r>
        <w:t xml:space="preserve"> </w:t>
      </w:r>
      <w:r>
        <w:t xml:space="preserve">some</w:t>
      </w:r>
      <w:r>
        <w:t xml:space="preserve"> </w:t>
      </w:r>
      <w:r>
        <w:t xml:space="preserve">normal</w:t>
      </w:r>
      <w:r>
        <w:t xml:space="preserve"> </w:t>
      </w:r>
      <w:r>
        <w:t xml:space="preserve">paralimbic</w:t>
      </w:r>
      <w:r>
        <w:t xml:space="preserve"> </w:t>
      </w:r>
      <w:r>
        <w:t xml:space="preserve">and</w:t>
      </w:r>
      <w:r>
        <w:t xml:space="preserve"> </w:t>
      </w:r>
      <w:r>
        <w:t xml:space="preserve">sensorimotor</w:t>
      </w:r>
      <w:r>
        <w:t xml:space="preserve"> </w:t>
      </w:r>
      <w:r>
        <w:t xml:space="preserve">cortices,</w:t>
      </w:r>
      <w:r>
        <w:t xml:space="preserve"> </w:t>
      </w:r>
      <w:r>
        <w:t xml:space="preserve">becoming</w:t>
      </w:r>
      <w:r>
        <w:t xml:space="preserve"> </w:t>
      </w:r>
      <w:r>
        <w:t xml:space="preserve">more</w:t>
      </w:r>
      <w:r>
        <w:t xml:space="preserve"> </w:t>
      </w:r>
      <w:r>
        <w:t xml:space="preserve">easily</w:t>
      </w:r>
      <w:r>
        <w:t xml:space="preserve"> </w:t>
      </w:r>
      <w:r>
        <w:t xml:space="preserve">distinguished</w:t>
      </w:r>
      <w:r>
        <w:t xml:space="preserve"> </w:t>
      </w:r>
      <w:r>
        <w:t xml:space="preserve">following</w:t>
      </w:r>
      <w:r>
        <w:t xml:space="preserve"> </w:t>
      </w:r>
      <w:r>
        <w:t xml:space="preserve">local</w:t>
      </w:r>
      <w:r>
        <w:t xml:space="preserve"> </w:t>
      </w:r>
      <w:r>
        <w:t xml:space="preserve">normalization.</w:t>
      </w:r>
      <w:r>
        <w:t xml:space="preserve"> </w:t>
      </w:r>
      <w:r>
        <w:t xml:space="preserve">Our</w:t>
      </w:r>
      <w:r>
        <w:t xml:space="preserve"> </w:t>
      </w:r>
      <w:r>
        <w:t xml:space="preserve">method</w:t>
      </w:r>
      <w:r>
        <w:t xml:space="preserve"> </w:t>
      </w:r>
      <w:r>
        <w:t xml:space="preserve">for</w:t>
      </w:r>
      <w:r>
        <w:t xml:space="preserve"> </w:t>
      </w:r>
      <w:r>
        <w:t xml:space="preserve">estimating</w:t>
      </w:r>
      <w:r>
        <w:t xml:space="preserve"> </w:t>
      </w:r>
      <w:r>
        <w:t xml:space="preserve">similarity</w:t>
      </w:r>
      <w:r>
        <w:t xml:space="preserve"> </w:t>
      </w:r>
      <w:r>
        <w:t xml:space="preserve">is</w:t>
      </w:r>
      <w:r>
        <w:t xml:space="preserve"> </w:t>
      </w:r>
      <w:r>
        <w:t xml:space="preserve">generic</w:t>
      </w:r>
      <w:r>
        <w:t xml:space="preserve"> </w:t>
      </w:r>
      <w:r>
        <w:t xml:space="preserve">and</w:t>
      </w:r>
      <w:r>
        <w:t xml:space="preserve"> </w:t>
      </w:r>
      <w:r>
        <w:t xml:space="preserve">can</w:t>
      </w:r>
      <w:r>
        <w:t xml:space="preserve"> </w:t>
      </w:r>
      <w:r>
        <w:t xml:space="preserve">be</w:t>
      </w:r>
      <w:r>
        <w:t xml:space="preserve"> </w:t>
      </w:r>
      <w:r>
        <w:t xml:space="preserve">extended</w:t>
      </w:r>
      <w:r>
        <w:t xml:space="preserve"> </w:t>
      </w:r>
      <w:r>
        <w:t xml:space="preserve">to</w:t>
      </w:r>
      <w:r>
        <w:t xml:space="preserve"> </w:t>
      </w:r>
      <w:r>
        <w:t xml:space="preserve">identification</w:t>
      </w:r>
      <w:r>
        <w:t xml:space="preserve"> </w:t>
      </w:r>
      <w:r>
        <w:t xml:space="preserve">of</w:t>
      </w:r>
      <w:r>
        <w:t xml:space="preserve"> </w:t>
      </w:r>
      <w:r>
        <w:t xml:space="preserve">other</w:t>
      </w:r>
      <w:r>
        <w:t xml:space="preserve"> </w:t>
      </w:r>
      <w:r>
        <w:t xml:space="preserve">types</w:t>
      </w:r>
      <w:r>
        <w:t xml:space="preserve"> </w:t>
      </w:r>
      <w:r>
        <w:t xml:space="preserve">of</w:t>
      </w:r>
      <w:r>
        <w:t xml:space="preserve"> </w:t>
      </w:r>
      <w:r>
        <w:t xml:space="preserve">lesions</w:t>
      </w:r>
      <w:r>
        <w:t xml:space="preserve"> </w:t>
      </w:r>
      <w:r>
        <w:t xml:space="preserve">or</w:t>
      </w:r>
      <w:r>
        <w:t xml:space="preserve"> </w:t>
      </w:r>
      <w:r>
        <w:t xml:space="preserve">normal</w:t>
      </w:r>
      <w:r>
        <w:t xml:space="preserve"> </w:t>
      </w:r>
      <w:r>
        <w:t xml:space="preserve">cortical</w:t>
      </w:r>
      <w:r>
        <w:t xml:space="preserve"> </w:t>
      </w:r>
      <w:r>
        <w:t xml:space="preserve">areas.</w:t>
      </w:r>
    </w:p>
    <w:p>
      <w:pPr>
        <w:pStyle w:val="FirstParagraph"/>
      </w:pPr>
      <w:r>
        <w:rPr>
          <w:b/>
        </w:rPr>
        <w:t xml:space="preserve">Corresponding Address:</w:t>
      </w:r>
    </w:p>
    <w:p>
      <w:pPr>
        <w:pStyle w:val="BodyText"/>
      </w:pPr>
      <w:r>
        <w:t xml:space="preserve">Sara K. Inati MD</w:t>
      </w:r>
    </w:p>
    <w:p>
      <w:pPr>
        <w:pStyle w:val="BodyText"/>
      </w:pPr>
      <w:r>
        <w:t xml:space="preserve">NINDS, National Institutes of Health</w:t>
      </w:r>
    </w:p>
    <w:p>
      <w:pPr>
        <w:pStyle w:val="BodyText"/>
      </w:pPr>
      <w:r>
        <w:t xml:space="preserve">Building 10, Room 7-5680</w:t>
      </w:r>
    </w:p>
    <w:p>
      <w:pPr>
        <w:pStyle w:val="BodyText"/>
      </w:pPr>
      <w:r>
        <w:t xml:space="preserve">10 Center Drive</w:t>
      </w:r>
    </w:p>
    <w:p>
      <w:pPr>
        <w:pStyle w:val="BodyText"/>
      </w:pPr>
      <w:r>
        <w:t xml:space="preserve">Bethesda, MD 20892-1445</w:t>
      </w:r>
    </w:p>
    <w:p>
      <w:pPr>
        <w:pStyle w:val="BodyText"/>
      </w:pPr>
      <w:r>
        <w:t xml:space="preserve">Email: </w:t>
      </w:r>
      <w:hyperlink r:id="rId21"/>
    </w:p>
    <w:p>
      <w:pPr>
        <w:pStyle w:val="BodyText"/>
      </w:pPr>
      <w:r>
        <w:br w:type="textWrapping"/>
      </w:r>
      <w:r>
        <w:rPr>
          <w:b/>
        </w:rPr>
        <w:t xml:space="preserve">Running Title:</w:t>
      </w:r>
      <w:r>
        <w:t xml:space="preserve"> </w:t>
      </w:r>
      <w:r>
        <w:t xml:space="preserve">Normative Modeling for FCD Detection</w:t>
      </w:r>
    </w:p>
    <w:p>
      <w:pPr>
        <w:pStyle w:val="BodyText"/>
      </w:pPr>
      <w:r>
        <w:rPr>
          <w:b/>
        </w:rPr>
        <w:t xml:space="preserve">Keywords:</w:t>
      </w:r>
      <w:r>
        <w:t xml:space="preserve"> </w:t>
      </w:r>
      <w:r>
        <w:t xml:space="preserve">Structural MRI, Machine learning, Epilepsy, Focal</w:t>
      </w:r>
      <w:r>
        <w:t xml:space="preserve"> </w:t>
      </w:r>
      <w:r>
        <w:t xml:space="preserve">cortical dysplasia</w:t>
      </w:r>
    </w:p>
    <w:p>
      <w:pPr>
        <w:pStyle w:val="BodyText"/>
      </w:pPr>
      <w:r>
        <w:rPr>
          <w:b/>
        </w:rPr>
        <w:t xml:space="preserve">Number of Figures:</w:t>
      </w:r>
      <w:r>
        <w:t xml:space="preserve"> 6</w:t>
      </w:r>
    </w:p>
    <w:p>
      <w:pPr>
        <w:pStyle w:val="BodyText"/>
      </w:pPr>
      <w:r>
        <w:rPr>
          <w:b/>
        </w:rPr>
        <w:t xml:space="preserve">Number of Tables:</w:t>
      </w:r>
      <w:r>
        <w:t xml:space="preserve"> </w:t>
      </w:r>
      <w:r>
        <w:t xml:space="preserve">2</w:t>
      </w:r>
    </w:p>
    <w:p>
      <w:pPr>
        <w:pStyle w:val="BodyText"/>
      </w:pPr>
      <w:r>
        <w:br w:type="textWrapping"/>
      </w:r>
      <w:r>
        <w:rPr>
          <w:b/>
        </w:rPr>
        <w:t xml:space="preserve">Highlights:</w:t>
      </w:r>
    </w:p>
    <w:p>
      <w:pPr>
        <w:pStyle w:val="BodyText"/>
      </w:pPr>
      <w:r>
        <w:t xml:space="preserve">- Multiscale image filters provide a good representation of local</w:t>
      </w:r>
      <w:r>
        <w:t xml:space="preserve"> </w:t>
      </w:r>
      <w:r>
        <w:t xml:space="preserve">cortical appearance </w:t>
      </w:r>
    </w:p>
    <w:p>
      <w:pPr>
        <w:pStyle w:val="BodyText"/>
      </w:pPr>
      <w:r>
        <w:t xml:space="preserve">- Normative modeling can be used to describe normal cortical</w:t>
      </w:r>
      <w:r>
        <w:t xml:space="preserve"> </w:t>
      </w:r>
      <w:r>
        <w:t xml:space="preserve">variability  </w:t>
      </w:r>
    </w:p>
    <w:p>
      <w:pPr>
        <w:pStyle w:val="BodyText"/>
      </w:pPr>
      <w:r>
        <w:t xml:space="preserve">- Most FCD lesions and some normal cortical regions appear as outliers</w:t>
      </w:r>
      <w:r>
        <w:t xml:space="preserve"> </w:t>
      </w:r>
      <w:r>
        <w:t xml:space="preserve">in our model</w:t>
      </w:r>
    </w:p>
    <w:p>
      <w:pPr>
        <w:pStyle w:val="BodyText"/>
      </w:pPr>
      <w:r>
        <w:t xml:space="preserve">- FCDs appear similar to paralimbic and primary sensorimotor cortical</w:t>
      </w:r>
      <w:r>
        <w:t xml:space="preserve"> </w:t>
      </w:r>
      <w:r>
        <w:t xml:space="preserve">regions in our model</w:t>
      </w:r>
    </w:p>
    <w:p>
      <w:pPr>
        <w:pStyle w:val="BodyText"/>
      </w:pPr>
      <w:r>
        <w:t xml:space="preserve">- Our constrained outlier detection approach allows for automated FCD</w:t>
      </w:r>
      <w:r>
        <w:t xml:space="preserve"> </w:t>
      </w:r>
      <w:r>
        <w:t xml:space="preserve">detection</w:t>
      </w:r>
    </w:p>
    <w:p>
      <w:pPr>
        <w:pStyle w:val="BodyText"/>
      </w:pPr>
      <w:r>
        <w:br w:type="textWrapping"/>
      </w:r>
    </w:p>
    <w:p>
      <w:pPr>
        <w:pStyle w:val="Heading1"/>
      </w:pPr>
      <w:bookmarkStart w:id="22" w:name="introduction"/>
      <w:bookmarkEnd w:id="22"/>
      <w:r>
        <w:t xml:space="preserve">Introduction</w:t>
      </w:r>
    </w:p>
    <w:p>
      <w:pPr>
        <w:pStyle w:val="FirstParagraph"/>
      </w:pPr>
      <w:r>
        <w:t xml:space="preserve">Focal cortical dysplasia (FCD) is a relatively common cause of</w:t>
      </w:r>
      <w:r>
        <w:t xml:space="preserve"> </w:t>
      </w:r>
      <w:r>
        <w:t xml:space="preserve">drug-resistant focal epilepsy, and particularly of MRI negative (MRI-)</w:t>
      </w:r>
      <w:r>
        <w:t xml:space="preserve"> </w:t>
      </w:r>
      <w:r>
        <w:t xml:space="preserve">epilepsy.  Approximately 15-25% of patients being evaluated for</w:t>
      </w:r>
      <w:r>
        <w:t xml:space="preserve"> </w:t>
      </w:r>
      <w:r>
        <w:t xml:space="preserve">epilepsy surgery have apparently normal MRIs; FCD is diagnosed</w:t>
      </w:r>
      <w:r>
        <w:t xml:space="preserve"> </w:t>
      </w:r>
      <w:r>
        <w:t xml:space="preserve">pathologically in 25-50%  of these patients (Blumcke et al., 2017; Lerner et al., 2009; Bien et al., 2009). </w:t>
      </w:r>
      <w:r>
        <w:t xml:space="preserve"> </w:t>
      </w:r>
      <w:r>
        <w:t xml:space="preserve">Because post-operative seizure outcomes are significantly worse in MRI-</w:t>
      </w:r>
      <w:r>
        <w:t xml:space="preserve"> </w:t>
      </w:r>
      <w:r>
        <w:t xml:space="preserve">compared to MRI positive (MRI+) patients (Téllez-Zenteno et al., 2010), improved</w:t>
      </w:r>
      <w:r>
        <w:t xml:space="preserve"> </w:t>
      </w:r>
      <w:r>
        <w:t xml:space="preserve">identification of subtle FCDs is of great clinical importance as it may</w:t>
      </w:r>
      <w:r>
        <w:t xml:space="preserve"> </w:t>
      </w:r>
      <w:r>
        <w:t xml:space="preserve">lead to better surgical outcomes.</w:t>
      </w:r>
    </w:p>
    <w:p>
      <w:pPr>
        <w:pStyle w:val="BodyText"/>
      </w:pPr>
      <w:r>
        <w:t xml:space="preserve">FCDs are variable in their histopathological and radiographic</w:t>
      </w:r>
      <w:r>
        <w:t xml:space="preserve"> </w:t>
      </w:r>
      <w:r>
        <w:t xml:space="preserve">appearances.  Pathological abnormalities range from cortical</w:t>
      </w:r>
      <w:r>
        <w:t xml:space="preserve"> </w:t>
      </w:r>
      <w:r>
        <w:t xml:space="preserve">dyslamination in type I, to the presence of large dysmorphic neurons in</w:t>
      </w:r>
      <w:r>
        <w:t xml:space="preserve"> </w:t>
      </w:r>
      <w:r>
        <w:t xml:space="preserve">type IIa (FCDIIa), and balloon cells and more prominent dysmyelination</w:t>
      </w:r>
      <w:r>
        <w:t xml:space="preserve"> </w:t>
      </w:r>
      <w:r>
        <w:t xml:space="preserve">in type IIb (FCDIIb) (Blümcke et al., 2011).  FCD type I lesions are</w:t>
      </w:r>
      <w:r>
        <w:t xml:space="preserve"> </w:t>
      </w:r>
      <w:r>
        <w:t xml:space="preserve">typically difficult to identify radiologically, most often consisting of</w:t>
      </w:r>
      <w:r>
        <w:t xml:space="preserve"> </w:t>
      </w:r>
      <w:r>
        <w:t xml:space="preserve">cortical thinning and lobar hypoplasia, at times with blurring of the</w:t>
      </w:r>
      <w:r>
        <w:t xml:space="preserve"> </w:t>
      </w:r>
      <w:r>
        <w:t xml:space="preserve">gray-white junction and changes in T1- or T2-weighted image intensity. </w:t>
      </w:r>
      <w:r>
        <w:t xml:space="preserve"> </w:t>
      </w:r>
      <w:r>
        <w:t xml:space="preserve">FCD type II lesions are more easily identified on MRI, with typical</w:t>
      </w:r>
      <w:r>
        <w:t xml:space="preserve"> </w:t>
      </w:r>
      <w:r>
        <w:t xml:space="preserve">findings consisting of increased cortical thickness, blurring of the</w:t>
      </w:r>
      <w:r>
        <w:t xml:space="preserve"> </w:t>
      </w:r>
      <w:r>
        <w:t xml:space="preserve">gray-white junction, FLAIR/T2 hyperintensity (including the transmantle</w:t>
      </w:r>
      <w:r>
        <w:t xml:space="preserve"> </w:t>
      </w:r>
      <w:r>
        <w:t xml:space="preserve">sign in FCD type IIb), and alterations in gyrification</w:t>
      </w:r>
      <w:r>
        <w:t xml:space="preserve"> </w:t>
      </w:r>
      <w:r>
        <w:t xml:space="preserve">patterns (Adler et al., 2017; Kini et al., 2016).  These findings, however,</w:t>
      </w:r>
      <w:r>
        <w:t xml:space="preserve"> </w:t>
      </w:r>
      <w:r>
        <w:t xml:space="preserve">appear inconsistently within and across lesions (Hong et al., 2017) and</w:t>
      </w:r>
      <w:r>
        <w:t xml:space="preserve"> </w:t>
      </w:r>
      <w:r>
        <w:t xml:space="preserve">are often subtle, with up to 80% of small bottom-of-sulcus dysplasias</w:t>
      </w:r>
      <w:r>
        <w:t xml:space="preserve"> </w:t>
      </w:r>
      <w:r>
        <w:t xml:space="preserve">being missed on routine visual inspection (Besson et al., 2008).</w:t>
      </w:r>
    </w:p>
    <w:p>
      <w:pPr>
        <w:pStyle w:val="BodyText"/>
      </w:pPr>
      <w:r>
        <w:t xml:space="preserve">To aid with detection of subtle FCD lesions, a number of post-processing</w:t>
      </w:r>
      <w:r>
        <w:t xml:space="preserve"> </w:t>
      </w:r>
      <w:r>
        <w:t xml:space="preserve">methods have been developed.  These range from creation of synthetic</w:t>
      </w:r>
      <w:r>
        <w:t xml:space="preserve"> </w:t>
      </w:r>
      <w:r>
        <w:t xml:space="preserve">contrasts to highlight areas of interest (such as the Morphometric</w:t>
      </w:r>
      <w:r>
        <w:t xml:space="preserve"> </w:t>
      </w:r>
      <w:r>
        <w:t xml:space="preserve">Analysis Program (MAP) (Huppertz et al., 2005)), to machine-learning based</w:t>
      </w:r>
      <w:r>
        <w:t xml:space="preserve"> </w:t>
      </w:r>
      <w:r>
        <w:t xml:space="preserve">fully automated detection methods (such as those described</w:t>
      </w:r>
      <w:r>
        <w:t xml:space="preserve"> </w:t>
      </w:r>
      <w:r>
        <w:t xml:space="preserve">by  (Adler et al., 2017; Ahmed et al., 2015; Hong et al., 2014)).  Across these methods, two key challenges have</w:t>
      </w:r>
      <w:r>
        <w:t xml:space="preserve"> </w:t>
      </w:r>
      <w:r>
        <w:t xml:space="preserve">been 1) selection of optimal features to describe FCD lesions, and 2)</w:t>
      </w:r>
      <w:r>
        <w:t xml:space="preserve"> </w:t>
      </w:r>
      <w:r>
        <w:t xml:space="preserve">accounting for variability within and across FCD lesions, as well as in</w:t>
      </w:r>
      <w:r>
        <w:t xml:space="preserve"> </w:t>
      </w:r>
      <w:r>
        <w:t xml:space="preserve">normal cortex.  While a wide variety of features have been investigated,</w:t>
      </w:r>
      <w:r>
        <w:t xml:space="preserve"> </w:t>
      </w:r>
      <w:r>
        <w:t xml:space="preserve">most methods have used features derived from either voxel-based</w:t>
      </w:r>
      <w:r>
        <w:t xml:space="preserve"> </w:t>
      </w:r>
      <w:r>
        <w:t xml:space="preserve">morphometry (Huppertz et al., 2005; Martin et al., 2017) or surface-based morphometry (SBM) (see</w:t>
      </w:r>
      <w:r>
        <w:t xml:space="preserve"> </w:t>
      </w:r>
      <w:r>
        <w:t xml:space="preserve">review in (Kini et al., 2016)).  Higher-order textural features or local</w:t>
      </w:r>
      <w:r>
        <w:t xml:space="preserve"> </w:t>
      </w:r>
      <w:r>
        <w:t xml:space="preserve">statistics used to describe the local characteristics of patches within</w:t>
      </w:r>
      <w:r>
        <w:t xml:space="preserve"> </w:t>
      </w:r>
      <w:r>
        <w:t xml:space="preserve">an image, are well-described in computer vision</w:t>
      </w:r>
      <w:r>
        <w:t xml:space="preserve"> </w:t>
      </w:r>
      <w:r>
        <w:t xml:space="preserve">applications (Portilla et al., 2003), but have only occasionally been</w:t>
      </w:r>
      <w:r>
        <w:t xml:space="preserve"> </w:t>
      </w:r>
      <w:r>
        <w:t xml:space="preserve">applied in biomedical imaging (for examples, see (Joyseeree et al., 2018; Wang et al., 2018; Zacharaki et al., 2009)),</w:t>
      </w:r>
      <w:r>
        <w:t xml:space="preserve"> </w:t>
      </w:r>
      <w:r>
        <w:t xml:space="preserve">and even less often for FCD detection (Antel et al., 2003).  </w:t>
      </w:r>
    </w:p>
    <w:p>
      <w:pPr>
        <w:pStyle w:val="BodyText"/>
      </w:pPr>
      <w:r>
        <w:t xml:space="preserve">In this work, we describe a novel approach for describing the normal</w:t>
      </w:r>
      <w:r>
        <w:t xml:space="preserve"> </w:t>
      </w:r>
      <w:r>
        <w:t xml:space="preserve">variability observed along the cortical sheet in healthy volunteers. </w:t>
      </w:r>
      <w:r>
        <w:t xml:space="preserve"> </w:t>
      </w:r>
      <w:r>
        <w:t xml:space="preserve">This normative model is then used to identify outliers, first in healthy</w:t>
      </w:r>
      <w:r>
        <w:t xml:space="preserve"> </w:t>
      </w:r>
      <w:r>
        <w:t xml:space="preserve">volunteers to identify atypical normal cortical regions, and then in</w:t>
      </w:r>
      <w:r>
        <w:t xml:space="preserve"> </w:t>
      </w:r>
      <w:r>
        <w:t xml:space="preserve">patients to identify focal cortical dysplasias.  Our model is based on</w:t>
      </w:r>
      <w:r>
        <w:t xml:space="preserve"> </w:t>
      </w:r>
      <w:r>
        <w:t xml:space="preserve">an implementation of 3D multiscale rotationally-invariant local image</w:t>
      </w:r>
      <w:r>
        <w:t xml:space="preserve"> </w:t>
      </w:r>
      <w:r>
        <w:t xml:space="preserve">features across multiple MR contrasts, similar to those that have been</w:t>
      </w:r>
      <w:r>
        <w:t xml:space="preserve"> </w:t>
      </w:r>
      <w:r>
        <w:t xml:space="preserve">previously shown to efficiently represent the local statistics of</w:t>
      </w:r>
      <w:r>
        <w:t xml:space="preserve"> </w:t>
      </w:r>
      <w:r>
        <w:t xml:space="preserve">natural images (Simoncelli and Olshausen, 2001).  We use these features to create a</w:t>
      </w:r>
      <w:r>
        <w:t xml:space="preserve"> </w:t>
      </w:r>
      <w:r>
        <w:t xml:space="preserve">latent representation of this normative data that allows for</w:t>
      </w:r>
      <w:r>
        <w:t xml:space="preserve"> </w:t>
      </w:r>
      <w:r>
        <w:t xml:space="preserve">straightforward outlier detection in our multivariate feature space.  We</w:t>
      </w:r>
      <w:r>
        <w:t xml:space="preserve"> </w:t>
      </w:r>
      <w:r>
        <w:t xml:space="preserve">identify several cortical regions as outliers in healthy volunteers,</w:t>
      </w:r>
      <w:r>
        <w:t xml:space="preserve"> </w:t>
      </w:r>
      <w:r>
        <w:t xml:space="preserve">corresponding to regions known to have atypical underlying</w:t>
      </w:r>
      <w:r>
        <w:t xml:space="preserve"> </w:t>
      </w:r>
      <w:r>
        <w:t xml:space="preserve">cytoarchitecture and myelination patterns.  In patients, most FCD</w:t>
      </w:r>
      <w:r>
        <w:t xml:space="preserve"> </w:t>
      </w:r>
      <w:r>
        <w:t xml:space="preserve">lesions also appear as outliers, but are similar in their underlying</w:t>
      </w:r>
      <w:r>
        <w:t xml:space="preserve"> </w:t>
      </w:r>
      <w:r>
        <w:t xml:space="preserve">features to some normally atypical regions.  Local normalization</w:t>
      </w:r>
      <w:r>
        <w:t xml:space="preserve"> </w:t>
      </w:r>
      <w:r>
        <w:t xml:space="preserve">corrects for the expected appearance at any given cortical location, and</w:t>
      </w:r>
      <w:r>
        <w:t xml:space="preserve"> </w:t>
      </w:r>
      <w:r>
        <w:t xml:space="preserve">allows for automated detection of FCDs.  </w:t>
      </w:r>
    </w:p>
    <w:p>
      <w:pPr>
        <w:pStyle w:val="Heading1"/>
      </w:pPr>
      <w:bookmarkStart w:id="23" w:name="materials-and-methods"/>
      <w:bookmarkEnd w:id="23"/>
      <w:r>
        <w:t xml:space="preserve">Materials and Methods</w:t>
      </w:r>
    </w:p>
    <w:p>
      <w:pPr>
        <w:pStyle w:val="Heading2"/>
      </w:pPr>
      <w:bookmarkStart w:id="24" w:name="study-participants"/>
      <w:bookmarkEnd w:id="24"/>
      <w:r>
        <w:t xml:space="preserve">Study Participants</w:t>
      </w:r>
    </w:p>
    <w:p>
      <w:pPr>
        <w:pStyle w:val="FirstParagraph"/>
      </w:pPr>
      <w:r>
        <w:t xml:space="preserve">From our surgical epilepsy imaging database, we retrospectively</w:t>
      </w:r>
      <w:r>
        <w:t xml:space="preserve"> </w:t>
      </w:r>
      <w:r>
        <w:t xml:space="preserve">identified 15 consecutive patients undergoing presurgical evaluation for</w:t>
      </w:r>
      <w:r>
        <w:t xml:space="preserve"> </w:t>
      </w:r>
      <w:r>
        <w:t xml:space="preserve">drug-resistant focal epilepsy from 2014-2019 with: 1) radiologically</w:t>
      </w:r>
      <w:r>
        <w:t xml:space="preserve"> </w:t>
      </w:r>
      <w:r>
        <w:t xml:space="preserve">apparent (MRI+) or histologically proven (MRI+ or MRI-) FCDs; and 2) our</w:t>
      </w:r>
      <w:r>
        <w:t xml:space="preserve"> </w:t>
      </w:r>
      <w:r>
        <w:t xml:space="preserve">standard 3T MRI epilepsy structural imaging protocol.  Patients were</w:t>
      </w:r>
      <w:r>
        <w:t xml:space="preserve"> </w:t>
      </w:r>
      <w:r>
        <w:t xml:space="preserve">excluded if they underwent other MR imaging protocols or had low image</w:t>
      </w:r>
      <w:r>
        <w:t xml:space="preserve"> </w:t>
      </w:r>
      <w:r>
        <w:t xml:space="preserve">quality on visual inspection. The control group consisted of 30 healthy</w:t>
      </w:r>
      <w:r>
        <w:t xml:space="preserve"> </w:t>
      </w:r>
      <w:r>
        <w:t xml:space="preserve">volunteers (HVs) scanned using the same imaging protocol with no</w:t>
      </w:r>
      <w:r>
        <w:t xml:space="preserve"> </w:t>
      </w:r>
      <w:r>
        <w:t xml:space="preserve">previous history of neurologic, psychiatric, or other significant</w:t>
      </w:r>
      <w:r>
        <w:t xml:space="preserve"> </w:t>
      </w:r>
      <w:r>
        <w:t xml:space="preserve">medical illnesses that may affect the central nervous system. Data were</w:t>
      </w:r>
      <w:r>
        <w:t xml:space="preserve"> </w:t>
      </w:r>
      <w:r>
        <w:t xml:space="preserve">collected at the National Institutes of Health (NIH) Clinical Center</w:t>
      </w:r>
      <w:r>
        <w:t xml:space="preserve"> </w:t>
      </w:r>
      <w:r>
        <w:t xml:space="preserve">(Bethesda, MD). All participants were enrolled in an Institutional</w:t>
      </w:r>
      <w:r>
        <w:t xml:space="preserve"> </w:t>
      </w:r>
      <w:r>
        <w:t xml:space="preserve">Review Board-approved research protocol; informed consent was obtained</w:t>
      </w:r>
      <w:r>
        <w:t xml:space="preserve"> </w:t>
      </w:r>
      <w:r>
        <w:t xml:space="preserve">from all participants.</w:t>
      </w:r>
    </w:p>
    <w:p>
      <w:pPr>
        <w:pStyle w:val="Heading2"/>
      </w:pPr>
      <w:bookmarkStart w:id="25" w:name="lesion-labels"/>
      <w:bookmarkEnd w:id="25"/>
      <w:r>
        <w:t xml:space="preserve">Lesion Labels</w:t>
      </w:r>
    </w:p>
    <w:p>
      <w:pPr>
        <w:pStyle w:val="FirstParagraph"/>
      </w:pPr>
      <w:r>
        <w:t xml:space="preserve">For MRI+ patients, lesions were traced in the volume using the Analysis</w:t>
      </w:r>
      <w:r>
        <w:t xml:space="preserve"> </w:t>
      </w:r>
      <w:r>
        <w:t xml:space="preserve">of Functional NeuroImages (AFNI) software package (Cox, 1996) by</w:t>
      </w:r>
      <w:r>
        <w:t xml:space="preserve"> </w:t>
      </w:r>
      <w:r>
        <w:t xml:space="preserve">an experienced neurologist using the T</w:t>
      </w:r>
      <w:r>
        <w:rPr>
          <w:vertAlign w:val="subscript"/>
        </w:rPr>
        <w:t xml:space="preserve">1 </w:t>
      </w:r>
      <w:r>
        <w:t xml:space="preserve">weighted image,</w:t>
      </w:r>
      <w:r>
        <w:t xml:space="preserve"> </w:t>
      </w:r>
      <w:r>
        <w:t xml:space="preserve">informed by the T</w:t>
      </w:r>
      <w:r>
        <w:rPr>
          <w:vertAlign w:val="subscript"/>
        </w:rPr>
        <w:t xml:space="preserve">2</w:t>
      </w:r>
      <w:r>
        <w:t xml:space="preserve"> </w:t>
      </w:r>
      <w:r>
        <w:t xml:space="preserve">and FLAIR images when necessary. For</w:t>
      </w:r>
      <w:r>
        <w:t xml:space="preserve"> </w:t>
      </w:r>
      <w:r>
        <w:t xml:space="preserve">MRI- patients, the postoperative T</w:t>
      </w:r>
      <w:r>
        <w:rPr>
          <w:vertAlign w:val="subscript"/>
        </w:rPr>
        <w:t xml:space="preserve">1</w:t>
      </w:r>
      <w:r>
        <w:t xml:space="preserve"> </w:t>
      </w:r>
      <w:r>
        <w:t xml:space="preserve">was registered to</w:t>
      </w:r>
      <w:r>
        <w:t xml:space="preserve"> </w:t>
      </w:r>
      <w:r>
        <w:t xml:space="preserve">the preoperative T</w:t>
      </w:r>
      <w:r>
        <w:rPr>
          <w:vertAlign w:val="subscript"/>
        </w:rPr>
        <w:t xml:space="preserve">1</w:t>
      </w:r>
      <w:r>
        <w:t xml:space="preserve"> </w:t>
      </w:r>
      <w:r>
        <w:t xml:space="preserve">in the same manner as described</w:t>
      </w:r>
      <w:r>
        <w:t xml:space="preserve"> </w:t>
      </w:r>
      <w:r>
        <w:t xml:space="preserve">below for T</w:t>
      </w:r>
      <w:r>
        <w:rPr>
          <w:vertAlign w:val="subscript"/>
        </w:rPr>
        <w:t xml:space="preserve">2</w:t>
      </w:r>
      <w:r>
        <w:t xml:space="preserve"> </w:t>
      </w:r>
      <w:r>
        <w:t xml:space="preserve">and FLAIR images; the resected region was</w:t>
      </w:r>
      <w:r>
        <w:t xml:space="preserve"> </w:t>
      </w:r>
      <w:r>
        <w:t xml:space="preserve">manually traced using AFNI. Lesion masks were mapped onto the smoothed</w:t>
      </w:r>
      <w:r>
        <w:t xml:space="preserve"> </w:t>
      </w:r>
      <w:r>
        <w:t xml:space="preserve">white matter surface using AFNI’s 3dVol2Surf function.</w:t>
      </w:r>
    </w:p>
    <w:p>
      <w:pPr>
        <w:pStyle w:val="Heading2"/>
      </w:pPr>
      <w:bookmarkStart w:id="26" w:name="mri-acquisition-protocol"/>
      <w:bookmarkEnd w:id="26"/>
      <w:r>
        <w:t xml:space="preserve">MRI Acquisition Protocol</w:t>
      </w:r>
    </w:p>
    <w:p>
      <w:pPr>
        <w:pStyle w:val="FirstParagraph"/>
      </w:pPr>
      <w:r>
        <w:t xml:space="preserve">All participants were scanned on a Philips Achieva 3T MRI scanner in the</w:t>
      </w:r>
      <w:r>
        <w:t xml:space="preserve"> </w:t>
      </w:r>
      <w:r>
        <w:t xml:space="preserve">NIH Clinical Center Radiology Department as follows: 1) 3D</w:t>
      </w:r>
      <w:r>
        <w:t xml:space="preserve"> </w:t>
      </w:r>
      <w:r>
        <w:t xml:space="preserve">T</w:t>
      </w:r>
      <w:r>
        <w:rPr>
          <w:vertAlign w:val="subscript"/>
        </w:rPr>
        <w:t xml:space="preserve">1</w:t>
      </w:r>
      <w:r>
        <w:t xml:space="preserve"> </w:t>
      </w:r>
      <w:r>
        <w:t xml:space="preserve">weighted MPRAGE (T</w:t>
      </w:r>
      <w:r>
        <w:rPr>
          <w:vertAlign w:val="subscript"/>
        </w:rPr>
        <w:t xml:space="preserve">1</w:t>
      </w:r>
      <w:r>
        <w:t xml:space="preserve">): TR = 6.8–7.2,</w:t>
      </w:r>
      <w:r>
        <w:t xml:space="preserve"> </w:t>
      </w:r>
      <w:r>
        <w:t xml:space="preserve">TE = 3.2 ms, TI = 900ms, flip angle = 90, voxel size = 0.75 x 0.75 x</w:t>
      </w:r>
      <w:r>
        <w:t xml:space="preserve"> </w:t>
      </w:r>
      <w:r>
        <w:t xml:space="preserve">0.8, acceleration factor 2 in slice direction, acquisition time = 7:02</w:t>
      </w:r>
      <w:r>
        <w:t xml:space="preserve"> </w:t>
      </w:r>
      <w:r>
        <w:t xml:space="preserve">min; 2) 3D T</w:t>
      </w:r>
      <w:r>
        <w:rPr>
          <w:vertAlign w:val="subscript"/>
        </w:rPr>
        <w:t xml:space="preserve">2</w:t>
      </w:r>
      <w:r>
        <w:t xml:space="preserve"> </w:t>
      </w:r>
      <w:r>
        <w:t xml:space="preserve">weighted FSE (T</w:t>
      </w:r>
      <w:r>
        <w:rPr>
          <w:vertAlign w:val="subscript"/>
        </w:rPr>
        <w:t xml:space="preserve">2</w:t>
      </w:r>
      <w:r>
        <w:t xml:space="preserve">): TR =</w:t>
      </w:r>
      <w:r>
        <w:t xml:space="preserve"> </w:t>
      </w:r>
      <w:r>
        <w:t xml:space="preserve">2500, TE = 225–245, voxel size = 1 x 1 x 2 or 1 x 1 x 1, acceleration</w:t>
      </w:r>
      <w:r>
        <w:t xml:space="preserve"> </w:t>
      </w:r>
      <w:r>
        <w:t xml:space="preserve">factor 2 in slice and phase directions, acquisition time = 5:03 min; and</w:t>
      </w:r>
      <w:r>
        <w:t xml:space="preserve"> </w:t>
      </w:r>
      <w:r>
        <w:t xml:space="preserve">3) 3D FLAIR: TR = 4800, TE = 271–415, TI = 1600, voxel size = 0.9 x 0.9</w:t>
      </w:r>
      <w:r>
        <w:t xml:space="preserve"> </w:t>
      </w:r>
      <w:r>
        <w:t xml:space="preserve">x 1, acceleration factor 2 in slice direction, 2.6 in phase direction,</w:t>
      </w:r>
      <w:r>
        <w:t xml:space="preserve"> </w:t>
      </w:r>
      <w:r>
        <w:t xml:space="preserve">acquisition time = 6:10 min. All scans were acquired sagittally.</w:t>
      </w:r>
    </w:p>
    <w:p>
      <w:pPr>
        <w:pStyle w:val="Heading2"/>
      </w:pPr>
      <w:bookmarkStart w:id="27" w:name="image-preprocessing"/>
      <w:bookmarkEnd w:id="27"/>
      <w:r>
        <w:t xml:space="preserve">Image Preprocessing</w:t>
      </w:r>
    </w:p>
    <w:p>
      <w:pPr>
        <w:pStyle w:val="FirstParagraph"/>
      </w:pPr>
      <w:r>
        <w:t xml:space="preserve">For each individual subject, T</w:t>
      </w:r>
      <w:r>
        <w:rPr>
          <w:vertAlign w:val="subscript"/>
        </w:rPr>
        <w:t xml:space="preserve">2</w:t>
      </w:r>
      <w:r>
        <w:t xml:space="preserve"> </w:t>
      </w:r>
      <w:r>
        <w:t xml:space="preserve">and FLAIR images were</w:t>
      </w:r>
      <w:r>
        <w:t xml:space="preserve"> </w:t>
      </w:r>
      <w:r>
        <w:t xml:space="preserve">co-registered to the T</w:t>
      </w:r>
      <w:r>
        <w:rPr>
          <w:vertAlign w:val="subscript"/>
        </w:rPr>
        <w:t xml:space="preserve">1</w:t>
      </w:r>
      <w:r>
        <w:t xml:space="preserve"> </w:t>
      </w:r>
      <w:r>
        <w:t xml:space="preserve">with an affine transformation</w:t>
      </w:r>
      <w:r>
        <w:t xml:space="preserve"> </w:t>
      </w:r>
      <w:r>
        <w:t xml:space="preserve">using a normalized mutual information cost function and resampled to the</w:t>
      </w:r>
      <w:r>
        <w:t xml:space="preserve"> </w:t>
      </w:r>
      <w:r>
        <w:t xml:space="preserve">T</w:t>
      </w:r>
      <w:r>
        <w:rPr>
          <w:vertAlign w:val="subscript"/>
        </w:rPr>
        <w:t xml:space="preserve">1</w:t>
      </w:r>
      <w:r>
        <w:t xml:space="preserve"> </w:t>
      </w:r>
      <w:r>
        <w:t xml:space="preserve">grid using AFNI.  Registered images were visually</w:t>
      </w:r>
      <w:r>
        <w:t xml:space="preserve"> </w:t>
      </w:r>
      <w:r>
        <w:t xml:space="preserve">assessed for alignment.  Cortical reconstruction was performed using</w:t>
      </w:r>
      <w:r>
        <w:t xml:space="preserve"> </w:t>
      </w:r>
      <w:r>
        <w:t xml:space="preserve">T</w:t>
      </w:r>
      <w:r>
        <w:rPr>
          <w:vertAlign w:val="subscript"/>
        </w:rPr>
        <w:t xml:space="preserve">1</w:t>
      </w:r>
      <w:r>
        <w:t xml:space="preserve"> </w:t>
      </w:r>
      <w:r>
        <w:t xml:space="preserve">and T</w:t>
      </w:r>
      <w:r>
        <w:rPr>
          <w:vertAlign w:val="subscript"/>
        </w:rPr>
        <w:t xml:space="preserve">2</w:t>
      </w:r>
      <w:r>
        <w:t xml:space="preserve"> </w:t>
      </w:r>
      <w:r>
        <w:t xml:space="preserve">images as input to</w:t>
      </w:r>
      <w:r>
        <w:t xml:space="preserve"> </w:t>
      </w:r>
      <w:r>
        <w:t xml:space="preserve">FreeSurfer’s standard processing pipeline with</w:t>
      </w:r>
      <w:r>
        <w:t xml:space="preserve"> </w:t>
      </w:r>
      <w:r>
        <w:t xml:space="preserve"> </w:t>
      </w:r>
      <w:hyperlink r:id="rId28">
        <w:r>
          <w:rPr>
            <w:rStyle w:val="Hyperlink"/>
          </w:rPr>
          <w:t xml:space="preserve">FreeSurfer</w:t>
        </w:r>
        <w:r>
          <w:rPr>
            <w:rStyle w:val="Hyperlink"/>
          </w:rPr>
          <w:t xml:space="preserve"> </w:t>
        </w:r>
        <w:r>
          <w:rPr>
            <w:rStyle w:val="Hyperlink"/>
          </w:rPr>
          <w:t xml:space="preserve">v6.0.0</w:t>
        </w:r>
      </w:hyperlink>
      <w:r>
        <w:t xml:space="preserve">  (Dale et al., 1999; Fischl et al., 1999).  Results were visually inspected and</w:t>
      </w:r>
      <w:r>
        <w:t xml:space="preserve"> </w:t>
      </w:r>
      <w:r>
        <w:t xml:space="preserve">manually corrected as needed. Cortical surfaces were resampled to a</w:t>
      </w:r>
      <w:r>
        <w:t xml:space="preserve"> </w:t>
      </w:r>
      <w:r>
        <w:t xml:space="preserve">standard mesh using the AFNI SUMA package (Cox, 1996) to allow</w:t>
      </w:r>
      <w:r>
        <w:t xml:space="preserve"> </w:t>
      </w:r>
      <w:r>
        <w:t xml:space="preserve">comparison of corresponding vertices across individuals. </w:t>
      </w:r>
    </w:p>
    <w:p>
      <w:pPr>
        <w:pStyle w:val="Heading2"/>
      </w:pPr>
      <w:bookmarkStart w:id="29" w:name="snr-aware-local-image-filters"/>
      <w:bookmarkEnd w:id="29"/>
      <w:r>
        <w:t xml:space="preserve">SNR Aware Local Image Filters</w:t>
      </w:r>
    </w:p>
    <w:p>
      <w:pPr>
        <w:pStyle w:val="FirstParagraph"/>
      </w:pPr>
      <w:r>
        <w:t xml:space="preserve">Next, we constructed SNR-aware local image filters, used subsequently both to correct for MRI coil-induced variations in image intensity, and to compute local 3D multi-scale oriented filters as the features on which to create a normative model of cortical variability. Most procedures used to correct for MRI coil-induced inhomogeneities that operate on a single image estimate the coil sensitivity profile as a blurred version of the image; these corrections can be adversely impacted by Gibbs ringing artifacts created by the sharp boundary between the outer edge of the head and air. Some approaches have adjusted for this by using a simultaneous segmentation and bias field estimation (Ganzetti et al., 2016). Here, we borrow from the computational neuroscience literature (see review in (Carandini and Heeger, 2011)) and use estimates of signal likelihood to weight our filtered images to prevent ringing, reduce signal inhomogeneities, and preserve signal differences of interest, such as between gray and white matter (Figure S1).</w:t>
      </w:r>
    </w:p>
    <w:p>
      <w:pPr>
        <w:pStyle w:val="BodyText"/>
      </w:pPr>
      <w:r>
        <w:t xml:space="preserve">To create these filters, we first estimated overall signal and noise levels and the local signal likelihood at each point in each image. For each location</w:t>
      </w:r>
      <w:r>
        <w:t xml:space="preserve"> </w:t>
      </w:r>
      <m:oMath>
        <m:groupChr>
          <m:groupChrPr>
            <m:chr m:val="⃗"/>
            <m:pos m:val="top"/>
            <m:vertJc m:val="bot"/>
          </m:groupChrPr>
          <m:e>
            <m:r>
              <m:t>r</m:t>
            </m:r>
          </m:e>
        </m:groupChr>
      </m:oMath>
      <w:r>
        <w:t xml:space="preserve"> </w:t>
      </w:r>
      <w:r>
        <w:t xml:space="preserve">in each 3D image, we estimated the signal likelihood</w:t>
      </w:r>
      <w:r>
        <w:t xml:space="preserve"> </w:t>
      </w:r>
      <m:oMath>
        <m:sSub>
          <m:e>
            <m:r>
              <m:t>w</m:t>
            </m:r>
          </m:e>
          <m:sub>
            <m:r>
              <m:t>s</m:t>
            </m:r>
          </m:sub>
        </m:sSub>
        <m:r>
          <m:t>(</m:t>
        </m:r>
        <m:groupChr>
          <m:groupChrPr>
            <m:chr m:val="⃗"/>
            <m:pos m:val="top"/>
            <m:vertJc m:val="bot"/>
          </m:groupChrPr>
          <m:e>
            <m:r>
              <m:t>r</m:t>
            </m:r>
          </m:e>
        </m:groupChr>
        <m:r>
          <m:t>)</m:t>
        </m:r>
      </m:oMath>
      <w:r>
        <w:t xml:space="preserve">, and the noise likelihood</w:t>
      </w:r>
      <w:r>
        <w:t xml:space="preserve"> </w:t>
      </w:r>
      <m:oMath>
        <m:sSub>
          <m:e>
            <m:r>
              <m:t>w</m:t>
            </m:r>
          </m:e>
          <m:sub>
            <m:r>
              <m:t>n</m:t>
            </m:r>
          </m:sub>
        </m:sSub>
        <m:r>
          <m:t>(</m:t>
        </m:r>
        <m:groupChr>
          <m:groupChrPr>
            <m:chr m:val="⃗"/>
            <m:pos m:val="top"/>
            <m:vertJc m:val="bot"/>
          </m:groupChrPr>
          <m:e>
            <m:r>
              <m:t>r</m:t>
            </m:r>
          </m:e>
        </m:groupChr>
        <m:r>
          <m:t>)</m:t>
        </m:r>
      </m:oMath>
      <w:r>
        <w:t xml:space="preserve">. For the image as whole, we estimated the global signal mean</w:t>
      </w:r>
      <w:r>
        <w:t xml:space="preserve"> </w:t>
      </w:r>
      <m:oMath>
        <m:sSub>
          <m:e>
            <m:r>
              <m:t>μ</m:t>
            </m:r>
          </m:e>
          <m:sub>
            <m:r>
              <m:t>s</m:t>
            </m:r>
          </m:sub>
        </m:sSub>
      </m:oMath>
      <w:r>
        <w:t xml:space="preserve">, and the global noise mean</w:t>
      </w:r>
      <w:r>
        <w:t xml:space="preserve"> </w:t>
      </w:r>
      <m:oMath>
        <m:sSub>
          <m:e>
            <m:r>
              <m:t>μ</m:t>
            </m:r>
          </m:e>
          <m:sub>
            <m:r>
              <m:t>n</m:t>
            </m:r>
          </m:sub>
        </m:sSub>
      </m:oMath>
      <w:r>
        <w:t xml:space="preserve"> </w:t>
      </w:r>
      <w:r>
        <w:t xml:space="preserve">for all voxels with non-zero signal (Figure S1A). We defined the signal and noise likelihoods heuristically as:</w:t>
      </w:r>
    </w:p>
    <w:p>
      <w:pPr>
        <w:pStyle w:val="BodyText"/>
      </w:pPr>
      <m:oMathPara>
        <m:oMathParaPr>
          <m:jc m:val="center"/>
        </m:oMathParaPr>
        <m:oMath>
          <m:m>
            <m:mPr>
              <m:baseJc m:val="center"/>
              <m:plcHide m:val="1"/>
              <m:mcs>
                <m:mc>
                  <m:mcPr>
                    <m:mcJc m:val="right"/>
                    <m:count m:val="1"/>
                  </m:mcPr>
                </m:mc>
                <m:mc>
                  <m:mcPr>
                    <m:mcJc m:val="left"/>
                    <m:count m:val="1"/>
                  </m:mcPr>
                </m:mc>
              </m:mcs>
            </m:mPr>
            <m:mr>
              <m:e>
                <m:sSub>
                  <m:e>
                    <m:r>
                      <m:t>w</m:t>
                    </m:r>
                  </m:e>
                  <m:sub>
                    <m:r>
                      <m:t>s</m:t>
                    </m:r>
                  </m:sub>
                </m:sSub>
                <m:r>
                  <m:t>(</m:t>
                </m:r>
                <m:groupChr>
                  <m:groupChrPr>
                    <m:chr m:val="⃗"/>
                    <m:pos m:val="top"/>
                    <m:vertJc m:val="bot"/>
                  </m:groupChrPr>
                  <m:e>
                    <m:r>
                      <m:t>r</m:t>
                    </m:r>
                  </m:e>
                </m:groupChr>
                <m:r>
                  <m:t>)</m:t>
                </m:r>
              </m:e>
              <m:e>
                <m:r>
                  <m:t>=</m:t>
                </m:r>
                <m:r>
                  <m:t>1</m:t>
                </m:r>
                <m:r>
                  <m:t>−</m:t>
                </m:r>
                <m:sSup>
                  <m:e>
                    <m:r>
                      <m:t>e</m:t>
                    </m:r>
                  </m:e>
                  <m:sup>
                    <m:r>
                      <m:t>−</m:t>
                    </m:r>
                    <m:r>
                      <m:t>f</m:t>
                    </m:r>
                    <m:r>
                      <m:t>(</m:t>
                    </m:r>
                    <m:groupChr>
                      <m:groupChrPr>
                        <m:chr m:val="⃗"/>
                        <m:pos m:val="top"/>
                        <m:vertJc m:val="bot"/>
                      </m:groupChrPr>
                      <m:e>
                        <m:r>
                          <m:t>r</m:t>
                        </m:r>
                      </m:e>
                    </m:groupChr>
                    <m:r>
                      <m:t>)</m:t>
                    </m:r>
                    <m:r>
                      <m:t>/</m:t>
                    </m:r>
                    <m:sSub>
                      <m:e>
                        <m:r>
                          <m:t>μ</m:t>
                        </m:r>
                      </m:e>
                      <m:sub>
                        <m:r>
                          <m:t>s</m:t>
                        </m:r>
                      </m:sub>
                    </m:sSub>
                  </m:sup>
                </m:sSup>
                <m:r>
                  <m:t>,</m:t>
                </m:r>
              </m:e>
            </m:mr>
            <m:mr>
              <m:e>
                <m:sSub>
                  <m:e>
                    <m:r>
                      <m:t>w</m:t>
                    </m:r>
                  </m:e>
                  <m:sub>
                    <m:r>
                      <m:t>n</m:t>
                    </m:r>
                  </m:sub>
                </m:sSub>
                <m:r>
                  <m:t>(</m:t>
                </m:r>
                <m:groupChr>
                  <m:groupChrPr>
                    <m:chr m:val="⃗"/>
                    <m:pos m:val="top"/>
                    <m:vertJc m:val="bot"/>
                  </m:groupChrPr>
                  <m:e>
                    <m:r>
                      <m:t>r</m:t>
                    </m:r>
                  </m:e>
                </m:groupChr>
                <m:r>
                  <m:t>)</m:t>
                </m:r>
              </m:e>
              <m:e>
                <m:r>
                  <m:t>=</m:t>
                </m:r>
                <m:r>
                  <m:t>1</m:t>
                </m:r>
                <m:r>
                  <m:t>−</m:t>
                </m:r>
                <m:sSub>
                  <m:e>
                    <m:r>
                      <m:t>w</m:t>
                    </m:r>
                  </m:e>
                  <m:sub>
                    <m:r>
                      <m:t>s</m:t>
                    </m:r>
                  </m:sub>
                </m:sSub>
                <m:r>
                  <m:t>(</m:t>
                </m:r>
                <m:groupChr>
                  <m:groupChrPr>
                    <m:chr m:val="⃗"/>
                    <m:pos m:val="top"/>
                    <m:vertJc m:val="bot"/>
                  </m:groupChrPr>
                  <m:e>
                    <m:r>
                      <m:t>r</m:t>
                    </m:r>
                  </m:e>
                </m:groupChr>
                <m:r>
                  <m:t>)</m:t>
                </m:r>
                <m:r>
                  <m:t>=</m:t>
                </m:r>
                <m:sSup>
                  <m:e>
                    <m:r>
                      <m:t>e</m:t>
                    </m:r>
                  </m:e>
                  <m:sup>
                    <m:r>
                      <m:t>−</m:t>
                    </m:r>
                    <m:r>
                      <m:t>f</m:t>
                    </m:r>
                    <m:r>
                      <m:t>(</m:t>
                    </m:r>
                    <m:groupChr>
                      <m:groupChrPr>
                        <m:chr m:val="⃗"/>
                        <m:pos m:val="top"/>
                        <m:vertJc m:val="bot"/>
                      </m:groupChrPr>
                      <m:e>
                        <m:r>
                          <m:t>r</m:t>
                        </m:r>
                      </m:e>
                    </m:groupChr>
                    <m:r>
                      <m:t>)</m:t>
                    </m:r>
                    <m:r>
                      <m:t>/</m:t>
                    </m:r>
                    <m:sSub>
                      <m:e>
                        <m:r>
                          <m:t>μ</m:t>
                        </m:r>
                      </m:e>
                      <m:sub>
                        <m:r>
                          <m:t>s</m:t>
                        </m:r>
                      </m:sub>
                    </m:sSub>
                  </m:sup>
                </m:sSup>
              </m:e>
            </m:mr>
          </m:m>
        </m:oMath>
      </m:oMathPara>
    </w:p>
    <w:p>
      <w:pPr>
        <w:pStyle w:val="FirstParagraph"/>
      </w:pPr>
      <w:r>
        <w:t xml:space="preserve">where</w:t>
      </w:r>
      <w:r>
        <w:t xml:space="preserve"> </w:t>
      </w:r>
      <m:oMath>
        <m:r>
          <m:t>f</m:t>
        </m:r>
        <m:r>
          <m:t>(</m:t>
        </m:r>
        <m:groupChr>
          <m:groupChrPr>
            <m:chr m:val="⃗"/>
            <m:pos m:val="top"/>
            <m:vertJc m:val="bot"/>
          </m:groupChrPr>
          <m:e>
            <m:r>
              <m:t>r</m:t>
            </m:r>
          </m:e>
        </m:groupChr>
        <m:r>
          <m:t>)</m:t>
        </m:r>
      </m:oMath>
      <w:r>
        <w:t xml:space="preserve"> </w:t>
      </w:r>
      <w:r>
        <w:t xml:space="preserve">is the image intensity at location</w:t>
      </w:r>
      <w:r>
        <w:t xml:space="preserve"> </w:t>
      </w:r>
      <m:oMath>
        <m:groupChr>
          <m:groupChrPr>
            <m:chr m:val="⃗"/>
            <m:pos m:val="top"/>
            <m:vertJc m:val="bot"/>
          </m:groupChrPr>
          <m:e>
            <m:r>
              <m:t>r</m:t>
            </m:r>
          </m:e>
        </m:groupChr>
      </m:oMath>
      <w:r>
        <w:t xml:space="preserve">.</w:t>
      </w:r>
      <w:r>
        <w:t xml:space="preserve"> </w:t>
      </w:r>
      <w:r>
        <w:t xml:space="preserve">We defined the signal and noise means as weighted averages of the image intensity:</w:t>
      </w:r>
    </w:p>
    <w:p>
      <w:pPr>
        <w:pStyle w:val="BodyText"/>
      </w:pPr>
      <m:oMathPara>
        <m:oMathParaPr>
          <m:jc m:val="center"/>
        </m:oMathParaPr>
        <m:oMath>
          <m:sSub>
            <m:e>
              <m:r>
                <m:t>μ</m:t>
              </m:r>
            </m:e>
            <m:sub>
              <m:r>
                <m:t>s</m:t>
              </m:r>
            </m:sub>
          </m:sSub>
          <m:r>
            <m:t>=</m:t>
          </m:r>
          <m:f>
            <m:fPr>
              <m:type m:val="bar"/>
            </m:fPr>
            <m:num>
              <m:nary>
                <m:naryPr>
                  <m:chr m:val="∑"/>
                  <m:limLoc m:val="undOvr"/>
                  <m:subHide m:val="0"/>
                  <m:supHide m:val="1"/>
                </m:naryPr>
                <m:sub>
                  <m:r>
                    <m:t>i</m:t>
                  </m:r>
                </m:sub>
                <m:sup/>
                <m:e>
                  <m:sSub>
                    <m:e>
                      <m:r>
                        <m:t>w</m:t>
                      </m:r>
                    </m:e>
                    <m:sub>
                      <m:r>
                        <m:t>s</m:t>
                      </m:r>
                    </m:sub>
                  </m:sSub>
                </m:e>
              </m:nary>
              <m:r>
                <m:t>(</m:t>
              </m:r>
              <m:groupChr>
                <m:groupChrPr>
                  <m:chr m:val="⃗"/>
                  <m:pos m:val="top"/>
                  <m:vertJc m:val="bot"/>
                </m:groupChrPr>
                <m:e>
                  <m:sSub>
                    <m:e>
                      <m:r>
                        <m:t>r</m:t>
                      </m:r>
                    </m:e>
                    <m:sub>
                      <m:r>
                        <m:t>i</m:t>
                      </m:r>
                    </m:sub>
                  </m:sSub>
                </m:e>
              </m:groupChr>
              <m:r>
                <m:t>)</m:t>
              </m:r>
              <m:r>
                <m:t>f</m:t>
              </m:r>
              <m:r>
                <m:t>(</m:t>
              </m:r>
              <m:groupChr>
                <m:groupChrPr>
                  <m:chr m:val="⃗"/>
                  <m:pos m:val="top"/>
                  <m:vertJc m:val="bot"/>
                </m:groupChrPr>
                <m:e>
                  <m:sSub>
                    <m:e>
                      <m:r>
                        <m:t>r</m:t>
                      </m:r>
                    </m:e>
                    <m:sub>
                      <m:r>
                        <m:t>i</m:t>
                      </m:r>
                    </m:sub>
                  </m:sSub>
                </m:e>
              </m:groupChr>
              <m:r>
                <m:t>)</m:t>
              </m:r>
            </m:num>
            <m:den>
              <m:nary>
                <m:naryPr>
                  <m:chr m:val="∑"/>
                  <m:limLoc m:val="undOvr"/>
                  <m:subHide m:val="0"/>
                  <m:supHide m:val="1"/>
                </m:naryPr>
                <m:sub>
                  <m:r>
                    <m:t>i</m:t>
                  </m:r>
                </m:sub>
                <m:sup/>
                <m:e>
                  <m:sSub>
                    <m:e>
                      <m:r>
                        <m:t>w</m:t>
                      </m:r>
                    </m:e>
                    <m:sub>
                      <m:r>
                        <m:t>s</m:t>
                      </m:r>
                    </m:sub>
                  </m:sSub>
                </m:e>
              </m:nary>
              <m:r>
                <m:t>(</m:t>
              </m:r>
              <m:groupChr>
                <m:groupChrPr>
                  <m:chr m:val="⃗"/>
                  <m:pos m:val="top"/>
                  <m:vertJc m:val="bot"/>
                </m:groupChrPr>
                <m:e>
                  <m:sSub>
                    <m:e>
                      <m:r>
                        <m:t>r</m:t>
                      </m:r>
                    </m:e>
                    <m:sub>
                      <m:r>
                        <m:t>i</m:t>
                      </m:r>
                    </m:sub>
                  </m:sSub>
                </m:e>
              </m:groupChr>
              <m:r>
                <m:t>)</m:t>
              </m:r>
            </m:den>
          </m:f>
          <m:r>
            <m:t>,</m:t>
          </m:r>
          <m:r>
            <m:t> </m:t>
          </m:r>
          <m:sSub>
            <m:e>
              <m:r>
                <m:t>μ</m:t>
              </m:r>
            </m:e>
            <m:sub>
              <m:r>
                <m:t>n</m:t>
              </m:r>
            </m:sub>
          </m:sSub>
          <m:r>
            <m:t>=</m:t>
          </m:r>
          <m:f>
            <m:fPr>
              <m:type m:val="bar"/>
            </m:fPr>
            <m:num>
              <m:nary>
                <m:naryPr>
                  <m:chr m:val="∑"/>
                  <m:limLoc m:val="undOvr"/>
                  <m:subHide m:val="0"/>
                  <m:supHide m:val="1"/>
                </m:naryPr>
                <m:sub>
                  <m:r>
                    <m:t>i</m:t>
                  </m:r>
                </m:sub>
                <m:sup/>
                <m:e>
                  <m:sSub>
                    <m:e>
                      <m:r>
                        <m:t>w</m:t>
                      </m:r>
                    </m:e>
                    <m:sub>
                      <m:r>
                        <m:t>n</m:t>
                      </m:r>
                    </m:sub>
                  </m:sSub>
                </m:e>
              </m:nary>
              <m:r>
                <m:t>(</m:t>
              </m:r>
              <m:groupChr>
                <m:groupChrPr>
                  <m:chr m:val="⃗"/>
                  <m:pos m:val="top"/>
                  <m:vertJc m:val="bot"/>
                </m:groupChrPr>
                <m:e>
                  <m:sSub>
                    <m:e>
                      <m:r>
                        <m:t>r</m:t>
                      </m:r>
                    </m:e>
                    <m:sub>
                      <m:r>
                        <m:t>i</m:t>
                      </m:r>
                    </m:sub>
                  </m:sSub>
                </m:e>
              </m:groupChr>
              <m:r>
                <m:t>)</m:t>
              </m:r>
              <m:r>
                <m:t>f</m:t>
              </m:r>
              <m:r>
                <m:t>(</m:t>
              </m:r>
              <m:groupChr>
                <m:groupChrPr>
                  <m:chr m:val="⃗"/>
                  <m:pos m:val="top"/>
                  <m:vertJc m:val="bot"/>
                </m:groupChrPr>
                <m:e>
                  <m:sSub>
                    <m:e>
                      <m:r>
                        <m:t>r</m:t>
                      </m:r>
                    </m:e>
                    <m:sub>
                      <m:r>
                        <m:t>i</m:t>
                      </m:r>
                    </m:sub>
                  </m:sSub>
                </m:e>
              </m:groupChr>
              <m:r>
                <m:t>)</m:t>
              </m:r>
            </m:num>
            <m:den>
              <m:nary>
                <m:naryPr>
                  <m:chr m:val="∑"/>
                  <m:limLoc m:val="undOvr"/>
                  <m:subHide m:val="0"/>
                  <m:supHide m:val="1"/>
                </m:naryPr>
                <m:sub>
                  <m:r>
                    <m:t>i</m:t>
                  </m:r>
                </m:sub>
                <m:sup/>
                <m:e>
                  <m:sSub>
                    <m:e>
                      <m:r>
                        <m:t>w</m:t>
                      </m:r>
                    </m:e>
                    <m:sub>
                      <m:r>
                        <m:t>n</m:t>
                      </m:r>
                    </m:sub>
                  </m:sSub>
                </m:e>
              </m:nary>
              <m:r>
                <m:t>(</m:t>
              </m:r>
              <m:groupChr>
                <m:groupChrPr>
                  <m:chr m:val="⃗"/>
                  <m:pos m:val="top"/>
                  <m:vertJc m:val="bot"/>
                </m:groupChrPr>
                <m:e>
                  <m:sSub>
                    <m:e>
                      <m:r>
                        <m:t>r</m:t>
                      </m:r>
                    </m:e>
                    <m:sub>
                      <m:r>
                        <m:t>i</m:t>
                      </m:r>
                    </m:sub>
                  </m:sSub>
                </m:e>
              </m:groupChr>
              <m:r>
                <m:t>)</m:t>
              </m:r>
            </m:den>
          </m:f>
        </m:oMath>
      </m:oMathPara>
    </w:p>
    <w:p>
      <w:pPr>
        <w:pStyle w:val="FirstParagraph"/>
      </w:pPr>
      <w:r>
        <w:t xml:space="preserve">The signal and noise likelihoods at each location and the global signal and noise means were computed as follows:</w:t>
      </w:r>
    </w:p>
    <w:p>
      <w:pPr>
        <w:numPr>
          <w:numId w:val="1001"/>
          <w:ilvl w:val="0"/>
        </w:numPr>
      </w:pPr>
      <w:r>
        <w:t xml:space="preserve">initialize</w:t>
      </w:r>
      <w:r>
        <w:t xml:space="preserve"> </w:t>
      </w:r>
      <m:oMath>
        <m:sSub>
          <m:e>
            <m:r>
              <m:t>w</m:t>
            </m:r>
          </m:e>
          <m:sub>
            <m:r>
              <m:t>s</m:t>
            </m:r>
          </m:sub>
        </m:sSub>
        <m:r>
          <m:t>(</m:t>
        </m:r>
        <m:groupChr>
          <m:groupChrPr>
            <m:chr m:val="⃗"/>
            <m:pos m:val="top"/>
            <m:vertJc m:val="bot"/>
          </m:groupChrPr>
          <m:e>
            <m:r>
              <m:t>r</m:t>
            </m:r>
          </m:e>
        </m:groupChr>
        <m:r>
          <m:t>)</m:t>
        </m:r>
      </m:oMath>
      <w:r>
        <w:t xml:space="preserve"> </w:t>
      </w:r>
      <w:r>
        <w:t xml:space="preserve">to 1 for all non-zero voxels</w:t>
      </w:r>
    </w:p>
    <w:p>
      <w:pPr>
        <w:numPr>
          <w:numId w:val="1001"/>
          <w:ilvl w:val="0"/>
        </w:numPr>
      </w:pPr>
      <w:r>
        <w:t xml:space="preserve">iterate:</w:t>
      </w:r>
    </w:p>
    <w:p>
      <w:pPr>
        <w:numPr>
          <w:numId w:val="1002"/>
          <w:ilvl w:val="1"/>
        </w:numPr>
      </w:pPr>
      <w:r>
        <w:t xml:space="preserve">given</w:t>
      </w:r>
      <w:r>
        <w:t xml:space="preserve"> </w:t>
      </w:r>
      <m:oMath>
        <m:sSub>
          <m:e>
            <m:r>
              <m:t>w</m:t>
            </m:r>
          </m:e>
          <m:sub>
            <m:r>
              <m:t>s</m:t>
            </m:r>
          </m:sub>
        </m:sSub>
        <m:r>
          <m:t>(</m:t>
        </m:r>
        <m:groupChr>
          <m:groupChrPr>
            <m:chr m:val="⃗"/>
            <m:pos m:val="top"/>
            <m:vertJc m:val="bot"/>
          </m:groupChrPr>
          <m:e>
            <m:r>
              <m:t>r</m:t>
            </m:r>
          </m:e>
        </m:groupChr>
        <m:r>
          <m:t>)</m:t>
        </m:r>
      </m:oMath>
      <w:r>
        <w:t xml:space="preserve">, compute</w:t>
      </w:r>
      <w:r>
        <w:t xml:space="preserve"> </w:t>
      </w:r>
      <m:oMath>
        <m:sSub>
          <m:e>
            <m:r>
              <m:t>μ</m:t>
            </m:r>
          </m:e>
          <m:sub>
            <m:r>
              <m:t>s</m:t>
            </m:r>
          </m:sub>
        </m:sSub>
      </m:oMath>
    </w:p>
    <w:p>
      <w:pPr>
        <w:numPr>
          <w:numId w:val="1002"/>
          <w:ilvl w:val="1"/>
        </w:numPr>
      </w:pPr>
      <w:r>
        <w:t xml:space="preserve">given</w:t>
      </w:r>
      <w:r>
        <w:t xml:space="preserve"> </w:t>
      </w:r>
      <m:oMath>
        <m:sSub>
          <m:e>
            <m:r>
              <m:t>μ</m:t>
            </m:r>
          </m:e>
          <m:sub>
            <m:r>
              <m:t>s</m:t>
            </m:r>
          </m:sub>
        </m:sSub>
      </m:oMath>
      <w:r>
        <w:t xml:space="preserve">, compute</w:t>
      </w:r>
      <w:r>
        <w:t xml:space="preserve"> </w:t>
      </w:r>
      <m:oMath>
        <m:sSub>
          <m:e>
            <m:r>
              <m:t>w</m:t>
            </m:r>
          </m:e>
          <m:sub>
            <m:r>
              <m:t>s</m:t>
            </m:r>
          </m:sub>
        </m:sSub>
        <m:r>
          <m:t>(</m:t>
        </m:r>
        <m:groupChr>
          <m:groupChrPr>
            <m:chr m:val="⃗"/>
            <m:pos m:val="top"/>
            <m:vertJc m:val="bot"/>
          </m:groupChrPr>
          <m:e>
            <m:r>
              <m:t>r</m:t>
            </m:r>
          </m:e>
        </m:groupChr>
        <m:r>
          <m:t>)</m:t>
        </m:r>
      </m:oMath>
    </w:p>
    <w:p>
      <w:pPr>
        <w:numPr>
          <w:numId w:val="1001"/>
          <w:ilvl w:val="0"/>
        </w:numPr>
      </w:pPr>
      <w:r>
        <w:t xml:space="preserve">compute</w:t>
      </w:r>
      <w:r>
        <w:t xml:space="preserve"> </w:t>
      </w:r>
      <m:oMath>
        <m:sSub>
          <m:e>
            <m:r>
              <m:t>w</m:t>
            </m:r>
          </m:e>
          <m:sub>
            <m:r>
              <m:t>n</m:t>
            </m:r>
          </m:sub>
        </m:sSub>
        <m:r>
          <m:t>(</m:t>
        </m:r>
        <m:groupChr>
          <m:groupChrPr>
            <m:chr m:val="⃗"/>
            <m:pos m:val="top"/>
            <m:vertJc m:val="bot"/>
          </m:groupChrPr>
          <m:e>
            <m:r>
              <m:t>r</m:t>
            </m:r>
          </m:e>
        </m:groupChr>
        <m:r>
          <m:t>)</m:t>
        </m:r>
      </m:oMath>
    </w:p>
    <w:p>
      <w:pPr>
        <w:numPr>
          <w:numId w:val="1001"/>
          <w:ilvl w:val="0"/>
        </w:numPr>
      </w:pPr>
      <w:r>
        <w:t xml:space="preserve">compute</w:t>
      </w:r>
      <w:r>
        <w:t xml:space="preserve"> </w:t>
      </w:r>
      <m:oMath>
        <m:sSub>
          <m:e>
            <m:r>
              <m:t>μ</m:t>
            </m:r>
          </m:e>
          <m:sub>
            <m:r>
              <m:t>n</m:t>
            </m:r>
          </m:sub>
        </m:sSub>
      </m:oMath>
      <w:r>
        <w:t xml:space="preserve">.</w:t>
      </w:r>
    </w:p>
    <w:p>
      <w:pPr>
        <w:pStyle w:val="FirstParagraph"/>
      </w:pPr>
      <w:r>
        <w:t xml:space="preserve">Three iterations of step 2 were sufficient to achieve convergence of the signal likelihood to 3 digits.</w:t>
      </w:r>
    </w:p>
    <w:p>
      <w:pPr>
        <w:pStyle w:val="BodyText"/>
      </w:pPr>
      <w:r>
        <w:t xml:space="preserve">We then used the signal likelihood function</w:t>
      </w:r>
      <w:r>
        <w:t xml:space="preserve"> </w:t>
      </w:r>
      <m:oMath>
        <m:sSub>
          <m:e>
            <m:r>
              <m:t>w</m:t>
            </m:r>
          </m:e>
          <m:sub>
            <m:r>
              <m:t>s</m:t>
            </m:r>
          </m:sub>
        </m:sSub>
        <m:r>
          <m:t>(</m:t>
        </m:r>
        <m:groupChr>
          <m:groupChrPr>
            <m:chr m:val="⃗"/>
            <m:pos m:val="top"/>
            <m:vertJc m:val="bot"/>
          </m:groupChrPr>
          <m:e>
            <m:r>
              <m:t>r</m:t>
            </m:r>
          </m:e>
        </m:groupChr>
        <m:r>
          <m:t>)</m:t>
        </m:r>
      </m:oMath>
      <w:r>
        <w:t xml:space="preserve"> </w:t>
      </w:r>
      <w:r>
        <w:t xml:space="preserve">and global signal</w:t>
      </w:r>
      <w:r>
        <w:t xml:space="preserve"> </w:t>
      </w:r>
      <m:oMath>
        <m:sSub>
          <m:e>
            <m:r>
              <m:t>μ</m:t>
            </m:r>
          </m:e>
          <m:sub>
            <m:r>
              <m:t>s</m:t>
            </m:r>
          </m:sub>
        </m:sSub>
      </m:oMath>
      <w:r>
        <w:t xml:space="preserve"> </w:t>
      </w:r>
      <w:r>
        <w:t xml:space="preserve">and noise</w:t>
      </w:r>
      <w:r>
        <w:t xml:space="preserve"> </w:t>
      </w:r>
      <m:oMath>
        <m:sSub>
          <m:e>
            <m:r>
              <m:t>μ</m:t>
            </m:r>
          </m:e>
          <m:sub>
            <m:r>
              <m:t>n</m:t>
            </m:r>
          </m:sub>
        </m:sSub>
      </m:oMath>
      <w:r>
        <w:t xml:space="preserve"> </w:t>
      </w:r>
      <w:r>
        <w:t xml:space="preserve">levels to construct SNR aware local image filters consisting of a set of</w:t>
      </w:r>
      <w:r>
        <w:t xml:space="preserve"> </w:t>
      </w:r>
      <m:oMath>
        <m:r>
          <m:t>K</m:t>
        </m:r>
      </m:oMath>
      <w:r>
        <w:t xml:space="preserve"> </w:t>
      </w:r>
      <w:r>
        <w:t xml:space="preserve">Gaussian derivative filters, denoting the</w:t>
      </w:r>
      <w:r>
        <w:t xml:space="preserve"> </w:t>
      </w:r>
      <m:oMath>
        <m:sSup>
          <m:e>
            <m:r>
              <m:t>k</m:t>
            </m:r>
          </m:e>
          <m:sup>
            <m:r>
              <m:t>t</m:t>
            </m:r>
            <m:r>
              <m:t>h</m:t>
            </m:r>
          </m:sup>
        </m:sSup>
      </m:oMath>
      <w:r>
        <w:t xml:space="preserve"> </w:t>
      </w:r>
      <w:r>
        <w:t xml:space="preserve">filter’s kernel by</w:t>
      </w:r>
      <w:r>
        <w:t xml:space="preserve"> </w:t>
      </w:r>
      <m:oMath>
        <m:sSub>
          <m:e>
            <m:r>
              <m:t>G</m:t>
            </m:r>
          </m:e>
          <m:sub>
            <m:r>
              <m:t>k</m:t>
            </m:r>
          </m:sub>
        </m:sSub>
        <m:r>
          <m:t>(</m:t>
        </m:r>
        <m:groupChr>
          <m:groupChrPr>
            <m:chr m:val="⃗"/>
            <m:pos m:val="top"/>
            <m:vertJc m:val="bot"/>
          </m:groupChrPr>
          <m:e>
            <m:r>
              <m:t>r</m:t>
            </m:r>
          </m:e>
        </m:groupChr>
        <m:r>
          <m:t>)</m:t>
        </m:r>
      </m:oMath>
      <w:r>
        <w:t xml:space="preserve">. The differences between the original Gaussian and SNR-aware filters are illustrated in Figure S2b. We applied the</w:t>
      </w:r>
      <w:r>
        <w:t xml:space="preserve"> </w:t>
      </w:r>
      <m:oMath>
        <m:sSup>
          <m:e>
            <m:r>
              <m:t>k</m:t>
            </m:r>
          </m:e>
          <m:sup>
            <m:r>
              <m:t>t</m:t>
            </m:r>
            <m:r>
              <m:t>h</m:t>
            </m:r>
          </m:sup>
        </m:sSup>
      </m:oMath>
      <w:r>
        <w:t xml:space="preserve"> </w:t>
      </w:r>
      <w:r>
        <w:t xml:space="preserve">filter to an image</w:t>
      </w:r>
      <w:r>
        <w:t xml:space="preserve"> </w:t>
      </w:r>
      <m:oMath>
        <m:r>
          <m:t>f</m:t>
        </m:r>
        <m:r>
          <m:t>(</m:t>
        </m:r>
        <m:groupChr>
          <m:groupChrPr>
            <m:chr m:val="⃗"/>
            <m:pos m:val="top"/>
            <m:vertJc m:val="bot"/>
          </m:groupChrPr>
          <m:e>
            <m:r>
              <m:t>r</m:t>
            </m:r>
          </m:e>
        </m:groupChr>
        <m:r>
          <m:t>)</m:t>
        </m:r>
      </m:oMath>
      <w:r>
        <w:t xml:space="preserve"> </w:t>
      </w:r>
      <w:r>
        <w:t xml:space="preserve">in analogy to a local weighted average to obtain the</w:t>
      </w:r>
      <w:r>
        <w:t xml:space="preserve"> </w:t>
      </w:r>
      <m:oMath>
        <m:sSup>
          <m:e>
            <m:r>
              <m:t>k</m:t>
            </m:r>
          </m:e>
          <m:sup>
            <m:r>
              <m:t>t</m:t>
            </m:r>
            <m:r>
              <m:t>h</m:t>
            </m:r>
          </m:sup>
        </m:sSup>
      </m:oMath>
      <w:r>
        <w:t xml:space="preserve"> </w:t>
      </w:r>
      <w:r>
        <w:t xml:space="preserve">filtered image</w:t>
      </w:r>
      <w:r>
        <w:t xml:space="preserve"> </w:t>
      </w:r>
      <m:oMath>
        <m:sSub>
          <m:e>
            <m:r>
              <m:t>f</m:t>
            </m:r>
          </m:e>
          <m:sub>
            <m:r>
              <m:t>k</m:t>
            </m:r>
          </m:sub>
        </m:sSub>
        <m:r>
          <m:t>(</m:t>
        </m:r>
        <m:groupChr>
          <m:groupChrPr>
            <m:chr m:val="⃗"/>
            <m:pos m:val="top"/>
            <m:vertJc m:val="bot"/>
          </m:groupChrPr>
          <m:e>
            <m:r>
              <m:t>r</m:t>
            </m:r>
          </m:e>
        </m:groupChr>
      </m:oMath>
      <w:r>
        <w:t xml:space="preserve">):</w:t>
      </w:r>
    </w:p>
    <w:p>
      <w:pPr>
        <w:pStyle w:val="BodyText"/>
      </w:pPr>
      <m:oMathPara>
        <m:oMathParaPr>
          <m:jc m:val="center"/>
        </m:oMathParaPr>
        <m:oMath>
          <m:sSub>
            <m:e>
              <m:r>
                <m:t>f</m:t>
              </m:r>
            </m:e>
            <m:sub>
              <m:r>
                <m:t>k</m:t>
              </m:r>
            </m:sub>
          </m:sSub>
          <m:r>
            <m:t>(</m:t>
          </m:r>
          <m:groupChr>
            <m:groupChrPr>
              <m:chr m:val="⃗"/>
              <m:pos m:val="top"/>
              <m:vertJc m:val="bot"/>
            </m:groupChrPr>
            <m:e>
              <m:r>
                <m:t>r</m:t>
              </m:r>
            </m:e>
          </m:groupChr>
          <m:r>
            <m:t>)</m:t>
          </m:r>
          <m:r>
            <m:t>=</m:t>
          </m:r>
          <m:f>
            <m:fPr>
              <m:type m:val="bar"/>
            </m:fPr>
            <m:num>
              <m:sSub>
                <m:e>
                  <m:r>
                    <m:t>G</m:t>
                  </m:r>
                </m:e>
                <m:sub>
                  <m:r>
                    <m:t>k</m:t>
                  </m:r>
                </m:sub>
              </m:sSub>
              <m:r>
                <m:t>(</m:t>
              </m:r>
              <m:groupChr>
                <m:groupChrPr>
                  <m:chr m:val="⃗"/>
                  <m:pos m:val="top"/>
                  <m:vertJc m:val="bot"/>
                </m:groupChrPr>
                <m:e>
                  <m:r>
                    <m:t>r</m:t>
                  </m:r>
                </m:e>
              </m:groupChr>
              <m:r>
                <m:t>)</m:t>
              </m:r>
              <m:r>
                <m:t>⊛</m:t>
              </m:r>
              <m:r>
                <m:t>(</m:t>
              </m:r>
              <m:r>
                <m:t>f</m:t>
              </m:r>
              <m:r>
                <m:t>(</m:t>
              </m:r>
              <m:groupChr>
                <m:groupChrPr>
                  <m:chr m:val="⃗"/>
                  <m:pos m:val="top"/>
                  <m:vertJc m:val="bot"/>
                </m:groupChrPr>
                <m:e>
                  <m:r>
                    <m:t>r</m:t>
                  </m:r>
                </m:e>
              </m:groupChr>
              <m:r>
                <m:t>)</m:t>
              </m:r>
              <m:sSub>
                <m:e>
                  <m:r>
                    <m:t>w</m:t>
                  </m:r>
                </m:e>
                <m:sub>
                  <m:r>
                    <m:t>s</m:t>
                  </m:r>
                </m:sub>
              </m:sSub>
              <m:r>
                <m:t>(</m:t>
              </m:r>
              <m:groupChr>
                <m:groupChrPr>
                  <m:chr m:val="⃗"/>
                  <m:pos m:val="top"/>
                  <m:vertJc m:val="bot"/>
                </m:groupChrPr>
                <m:e>
                  <m:r>
                    <m:t>r</m:t>
                  </m:r>
                </m:e>
              </m:groupChr>
              <m:r>
                <m:t>)</m:t>
              </m:r>
              <m:r>
                <m:t>)</m:t>
              </m:r>
            </m:num>
            <m:den>
              <m:sSub>
                <m:e>
                  <m:r>
                    <m:t>G</m:t>
                  </m:r>
                </m:e>
                <m:sub>
                  <m:r>
                    <m:t>k</m:t>
                  </m:r>
                </m:sub>
              </m:sSub>
              <m:r>
                <m:t>(</m:t>
              </m:r>
              <m:groupChr>
                <m:groupChrPr>
                  <m:chr m:val="⃗"/>
                  <m:pos m:val="top"/>
                  <m:vertJc m:val="bot"/>
                </m:groupChrPr>
                <m:e>
                  <m:r>
                    <m:t>r</m:t>
                  </m:r>
                </m:e>
              </m:groupChr>
              <m:r>
                <m:t>)</m:t>
              </m:r>
              <m:r>
                <m:t>⊛</m:t>
              </m:r>
              <m:sSub>
                <m:e>
                  <m:r>
                    <m:t>w</m:t>
                  </m:r>
                </m:e>
                <m:sub>
                  <m:r>
                    <m:t>s</m:t>
                  </m:r>
                </m:sub>
              </m:sSub>
              <m:r>
                <m:t>(</m:t>
              </m:r>
              <m:groupChr>
                <m:groupChrPr>
                  <m:chr m:val="⃗"/>
                  <m:pos m:val="top"/>
                  <m:vertJc m:val="bot"/>
                </m:groupChrPr>
                <m:e>
                  <m:r>
                    <m:t>r</m:t>
                  </m:r>
                </m:e>
              </m:groupChr>
              <m:r>
                <m:t>)</m:t>
              </m:r>
            </m:den>
          </m:f>
        </m:oMath>
      </m:oMathPara>
    </w:p>
    <w:p>
      <w:pPr>
        <w:pStyle w:val="FirstParagraph"/>
      </w:pPr>
      <w:r>
        <w:t xml:space="preserve">Division in the above expression was regularized using a term proportional to the global signal to noise ratio:</w:t>
      </w:r>
    </w:p>
    <w:p>
      <w:pPr>
        <w:pStyle w:val="BodyText"/>
      </w:pPr>
      <m:oMathPara>
        <m:oMathParaPr>
          <m:jc m:val="center"/>
        </m:oMathParaPr>
        <m:oMath>
          <m:f>
            <m:fPr>
              <m:type m:val="bar"/>
            </m:fPr>
            <m:num>
              <m:r>
                <m:t>1</m:t>
              </m:r>
            </m:num>
            <m:den>
              <m:r>
                <m:t>ϕ</m:t>
              </m:r>
              <m:r>
                <m:t>(</m:t>
              </m:r>
              <m:groupChr>
                <m:groupChrPr>
                  <m:chr m:val="⃗"/>
                  <m:pos m:val="top"/>
                  <m:vertJc m:val="bot"/>
                </m:groupChrPr>
                <m:e>
                  <m:r>
                    <m:t>r</m:t>
                  </m:r>
                </m:e>
              </m:groupChr>
              <m:r>
                <m:t>)</m:t>
              </m:r>
            </m:den>
          </m:f>
          <m:r>
            <m:t>≈</m:t>
          </m:r>
          <m:f>
            <m:fPr>
              <m:type m:val="bar"/>
            </m:fPr>
            <m:num>
              <m:r>
                <m:t>ϕ</m:t>
              </m:r>
              <m:r>
                <m:t>(</m:t>
              </m:r>
              <m:groupChr>
                <m:groupChrPr>
                  <m:chr m:val="⃗"/>
                  <m:pos m:val="top"/>
                  <m:vertJc m:val="bot"/>
                </m:groupChrPr>
                <m:e>
                  <m:r>
                    <m:t>r</m:t>
                  </m:r>
                </m:e>
              </m:groupChr>
              <m:r>
                <m:t>)</m:t>
              </m:r>
            </m:num>
            <m:den>
              <m:sSup>
                <m:e>
                  <m:r>
                    <m:t>β</m:t>
                  </m:r>
                </m:e>
                <m:sup>
                  <m:r>
                    <m:t>2</m:t>
                  </m:r>
                </m:sup>
              </m:sSup>
              <m:r>
                <m:t>+</m:t>
              </m:r>
              <m:r>
                <m:t>ϕ</m:t>
              </m:r>
              <m:r>
                <m:t>(</m:t>
              </m:r>
              <m:groupChr>
                <m:groupChrPr>
                  <m:chr m:val="⃗"/>
                  <m:pos m:val="top"/>
                  <m:vertJc m:val="bot"/>
                </m:groupChrPr>
                <m:e>
                  <m:r>
                    <m:t>r</m:t>
                  </m:r>
                </m:e>
              </m:groupChr>
              <m:sSup>
                <m:e>
                  <m:r>
                    <m:t>)</m:t>
                  </m:r>
                </m:e>
                <m:sup>
                  <m:r>
                    <m:t>2</m:t>
                  </m:r>
                </m:sup>
              </m:sSup>
            </m:den>
          </m:f>
        </m:oMath>
      </m:oMathPara>
    </w:p>
    <w:p>
      <w:pPr>
        <w:pStyle w:val="FirstParagraph"/>
      </w:pPr>
      <m:oMathPara>
        <m:oMathParaPr>
          <m:jc m:val="center"/>
        </m:oMathParaPr>
        <m:oMath>
          <m:r>
            <m:t>β</m:t>
          </m:r>
          <m:r>
            <m:t>=</m:t>
          </m:r>
          <m:r>
            <m:t>0.01</m:t>
          </m:r>
          <m:r>
            <m:t> </m:t>
          </m:r>
          <m:f>
            <m:fPr>
              <m:type m:val="bar"/>
            </m:fPr>
            <m:num>
              <m:sSub>
                <m:e>
                  <m:r>
                    <m:t>μ</m:t>
                  </m:r>
                </m:e>
                <m:sub>
                  <m:r>
                    <m:t>n</m:t>
                  </m:r>
                </m:sub>
              </m:sSub>
            </m:num>
            <m:den>
              <m:sSub>
                <m:e>
                  <m:r>
                    <m:t>μ</m:t>
                  </m:r>
                </m:e>
                <m:sub>
                  <m:r>
                    <m:t>s</m:t>
                  </m:r>
                </m:sub>
              </m:sSub>
            </m:den>
          </m:f>
        </m:oMath>
      </m:oMathPara>
    </w:p>
    <w:p>
      <w:pPr>
        <w:pStyle w:val="FirstParagraph"/>
      </w:pPr>
      <w:r>
        <w:t xml:space="preserve">in order to prevent noise amplification in the estimate of</w:t>
      </w:r>
      <w:r>
        <w:t xml:space="preserve"> </w:t>
      </w:r>
      <m:oMath>
        <m:sSub>
          <m:e>
            <m:r>
              <m:t>f</m:t>
            </m:r>
          </m:e>
          <m:sub>
            <m:r>
              <m:t>k</m:t>
            </m:r>
          </m:sub>
        </m:sSub>
        <m:r>
          <m:t>(</m:t>
        </m:r>
        <m:groupChr>
          <m:groupChrPr>
            <m:chr m:val="⃗"/>
            <m:pos m:val="top"/>
            <m:vertJc m:val="bot"/>
          </m:groupChrPr>
          <m:e>
            <m:r>
              <m:t>r</m:t>
            </m:r>
          </m:e>
        </m:groupChr>
        <m:r>
          <m:t>)</m:t>
        </m:r>
      </m:oMath>
      <w:r>
        <w:t xml:space="preserve"> </w:t>
      </w:r>
      <w:r>
        <w:t xml:space="preserve">in regions of the image where the local signal likelihood</w:t>
      </w:r>
      <w:r>
        <w:t xml:space="preserve"> </w:t>
      </w:r>
      <m:oMath>
        <m:sSub>
          <m:e>
            <m:r>
              <m:t>w</m:t>
            </m:r>
          </m:e>
          <m:sub>
            <m:r>
              <m:t>s</m:t>
            </m:r>
          </m:sub>
        </m:sSub>
        <m:r>
          <m:t>(</m:t>
        </m:r>
        <m:groupChr>
          <m:groupChrPr>
            <m:chr m:val="⃗"/>
            <m:pos m:val="top"/>
            <m:vertJc m:val="bot"/>
          </m:groupChrPr>
          <m:e>
            <m:r>
              <m:t>r</m:t>
            </m:r>
          </m:e>
        </m:groupChr>
        <m:r>
          <m:t>)</m:t>
        </m:r>
      </m:oMath>
      <w:r>
        <w:t xml:space="preserve"> </w:t>
      </w:r>
      <w:r>
        <w:t xml:space="preserve">was very small, e.g. outside the head.</w:t>
      </w:r>
    </w:p>
    <w:p>
      <w:pPr>
        <w:pStyle w:val="Heading2"/>
      </w:pPr>
      <w:bookmarkStart w:id="30" w:name="local-intensity-correction"/>
      <w:bookmarkEnd w:id="30"/>
      <w:r>
        <w:t xml:space="preserve">Local Intensity Correction</w:t>
      </w:r>
    </w:p>
    <w:p>
      <w:pPr>
        <w:pStyle w:val="FirstParagraph"/>
      </w:pPr>
      <w:r>
        <w:t xml:space="preserve">Intensity correction for each 3D image was carried out by dividing each image by an estimate of its local mean image intensity, computed by applying an SNR-weighted 3D Gaussian filter of width 64 mm. A representative raw T</w:t>
      </w:r>
      <m:oMath>
        <m:sSub>
          <m:e>
            <m:r>
              <m:t/>
            </m:r>
          </m:e>
          <m:sub>
            <m:r>
              <m:t>1</m:t>
            </m:r>
          </m:sub>
        </m:sSub>
      </m:oMath>
      <w:r>
        <w:t xml:space="preserve"> </w:t>
      </w:r>
      <w:r>
        <w:t xml:space="preserve">weighted image and its intensity distribution, and then intensity correction, resulting images, and intensity distribution of those images using multiple filter sizes are shown in figure S2. The use of smaller radius filters leads to a narrower distribution of observed intensities but also diminished distinction between gray and white matter voxel intensity.</w:t>
      </w:r>
    </w:p>
    <w:p>
      <w:pPr>
        <w:pStyle w:val="Heading2"/>
      </w:pPr>
      <w:bookmarkStart w:id="31" w:name="feature-generation"/>
      <w:bookmarkEnd w:id="31"/>
      <w:r>
        <w:t xml:space="preserve">Feature Generation</w:t>
      </w:r>
    </w:p>
    <w:p>
      <w:pPr>
        <w:pStyle w:val="FirstParagraph"/>
      </w:pPr>
      <w:r>
        <w:t xml:space="preserve">To represent the characteristics of the local neighborhood surrounding each voxel in a manner that was insensitive to the local orientation of the cortical sheet, we created a set of rotationally invariant 3D multi-scale local image filters analogous to the multi-scale oriented filters that have been shown to be: 1) an efficient representation of natural image local statistics; 2) an accurate model of neurons in the mammalian visual system; and 3) a reliable model commonly used in computer vision applications to create a robust, efficient, generic basis set for applications such as texture synthesis (Simoncelli and Olshausen, 2001).</w:t>
      </w:r>
    </w:p>
    <w:p>
      <w:pPr>
        <w:pStyle w:val="BodyText"/>
      </w:pPr>
      <w:r>
        <w:t xml:space="preserve">Using the SNR-weighted filters described above, for each image we computed zeroth, first, and second order derivatives of the Gaussian at three spatial scales (2, 4, and 8 times lower resolution or blurring):</w:t>
      </w:r>
    </w:p>
    <w:p>
      <w:pPr>
        <w:numPr>
          <w:numId w:val="1003"/>
          <w:ilvl w:val="0"/>
        </w:numPr>
      </w:pPr>
      <w:r>
        <w:t xml:space="preserve">zeroth order: 1 image, scalar,</w:t>
      </w:r>
      <w:r>
        <w:t xml:space="preserve"> </w:t>
      </w:r>
      <m:oMath>
        <m:r>
          <m:t>{</m:t>
        </m:r>
        <m:r>
          <m:t>g</m:t>
        </m:r>
        <m:r>
          <m:t>}</m:t>
        </m:r>
      </m:oMath>
    </w:p>
    <w:p>
      <w:pPr>
        <w:numPr>
          <w:numId w:val="1003"/>
          <w:ilvl w:val="0"/>
        </w:numPr>
      </w:pPr>
      <w:r>
        <w:t xml:space="preserve">first order: 3 images, vector,</w:t>
      </w:r>
      <w:r>
        <w:t xml:space="preserve"> </w:t>
      </w:r>
      <m:oMath>
        <m:r>
          <m:t>{</m:t>
        </m:r>
        <m:sSub>
          <m:e>
            <m:r>
              <m:t>g</m:t>
            </m:r>
          </m:e>
          <m:sub>
            <m:r>
              <m:t>x</m:t>
            </m:r>
          </m:sub>
        </m:sSub>
        <m:r>
          <m:t>,</m:t>
        </m:r>
        <m:sSub>
          <m:e>
            <m:r>
              <m:t>g</m:t>
            </m:r>
          </m:e>
          <m:sub>
            <m:r>
              <m:t>y</m:t>
            </m:r>
          </m:sub>
        </m:sSub>
        <m:r>
          <m:t>,</m:t>
        </m:r>
        <m:sSub>
          <m:e>
            <m:r>
              <m:t>g</m:t>
            </m:r>
          </m:e>
          <m:sub>
            <m:r>
              <m:t>z</m:t>
            </m:r>
          </m:sub>
        </m:sSub>
        <m:r>
          <m:t>}</m:t>
        </m:r>
      </m:oMath>
    </w:p>
    <w:p>
      <w:pPr>
        <w:numPr>
          <w:numId w:val="1003"/>
          <w:ilvl w:val="0"/>
        </w:numPr>
      </w:pPr>
      <w:r>
        <w:t xml:space="preserve">second order: 6 images, tensor,</w:t>
      </w:r>
      <w:r>
        <w:t xml:space="preserve"> </w:t>
      </w:r>
      <m:oMath>
        <m:r>
          <m:t>{</m:t>
        </m:r>
        <m:sSub>
          <m:e>
            <m:r>
              <m:t>g</m:t>
            </m:r>
          </m:e>
          <m:sub>
            <m:r>
              <m:t>x</m:t>
            </m:r>
            <m:r>
              <m:t>x</m:t>
            </m:r>
          </m:sub>
        </m:sSub>
        <m:r>
          <m:t>,</m:t>
        </m:r>
        <m:sSub>
          <m:e>
            <m:r>
              <m:t>g</m:t>
            </m:r>
          </m:e>
          <m:sub>
            <m:r>
              <m:t>x</m:t>
            </m:r>
            <m:r>
              <m:t>y</m:t>
            </m:r>
          </m:sub>
        </m:sSub>
        <m:r>
          <m:t>,</m:t>
        </m:r>
        <m:sSub>
          <m:e>
            <m:r>
              <m:t>g</m:t>
            </m:r>
          </m:e>
          <m:sub>
            <m:r>
              <m:t>x</m:t>
            </m:r>
            <m:r>
              <m:t>z</m:t>
            </m:r>
          </m:sub>
        </m:sSub>
        <m:r>
          <m:t>,</m:t>
        </m:r>
        <m:sSub>
          <m:e>
            <m:r>
              <m:t>g</m:t>
            </m:r>
          </m:e>
          <m:sub>
            <m:r>
              <m:t>y</m:t>
            </m:r>
            <m:r>
              <m:t>y</m:t>
            </m:r>
          </m:sub>
        </m:sSub>
        <m:r>
          <m:t>,</m:t>
        </m:r>
        <m:sSub>
          <m:e>
            <m:r>
              <m:t>g</m:t>
            </m:r>
          </m:e>
          <m:sub>
            <m:r>
              <m:t>y</m:t>
            </m:r>
            <m:r>
              <m:t>z</m:t>
            </m:r>
          </m:sub>
        </m:sSub>
        <m:r>
          <m:t>,</m:t>
        </m:r>
        <m:sSub>
          <m:e>
            <m:r>
              <m:t>g</m:t>
            </m:r>
          </m:e>
          <m:sub>
            <m:r>
              <m:t>z</m:t>
            </m:r>
            <m:r>
              <m:t>z</m:t>
            </m:r>
          </m:sub>
        </m:sSub>
        <m:r>
          <m:t>}</m:t>
        </m:r>
      </m:oMath>
    </w:p>
    <w:p>
      <w:pPr>
        <w:pStyle w:val="FirstParagraph"/>
      </w:pPr>
      <w:r>
        <w:t xml:space="preserve">where</w:t>
      </w:r>
      <w:r>
        <w:t xml:space="preserve"> </w:t>
      </w:r>
      <m:oMath>
        <m:sSub>
          <m:e>
            <m:r>
              <m:t>g</m:t>
            </m:r>
          </m:e>
          <m:sub>
            <m:r>
              <m:t>x</m:t>
            </m:r>
          </m:sub>
        </m:sSub>
      </m:oMath>
      <w:r>
        <w:t xml:space="preserve"> </w:t>
      </w:r>
      <w:r>
        <w:t xml:space="preserve">is the derivative of the gaussian in the</w:t>
      </w:r>
      <w:r>
        <w:t xml:space="preserve"> </w:t>
      </w:r>
      <m:oMath>
        <m:r>
          <m:t>x</m:t>
        </m:r>
      </m:oMath>
      <w:r>
        <w:t xml:space="preserve">-direction, etc. At each spatial scale, we then combined the gradient filtered images to form rotationally invariant feature images. The zeroth order Gaussian blurred image is a scalar. The first order gradient images form a vector, and we consider only its magnitude. The second order gradient images form a symmetric tensor, and we consider only its trace (Laplacian of Gaussian) and magnitude of the Hessian, resulting in four images at each spatial scale:</w:t>
      </w:r>
    </w:p>
    <w:p>
      <w:pPr>
        <w:pStyle w:val="BodyText"/>
      </w:pPr>
      <m:oMathPara>
        <m:oMathParaPr>
          <m:jc m:val="center"/>
        </m:oMathParaPr>
        <m:oMath>
          <m:m>
            <m:mPr>
              <m:baseJc m:val="center"/>
              <m:plcHide m:val="1"/>
              <m:mcs>
                <m:mc>
                  <m:mcPr>
                    <m:mcJc m:val="right"/>
                    <m:count m:val="1"/>
                  </m:mcPr>
                </m:mc>
                <m:mc>
                  <m:mcPr>
                    <m:mcJc m:val="left"/>
                    <m:count m:val="1"/>
                  </m:mcPr>
                </m:mc>
                <m:mc>
                  <m:mcPr>
                    <m:mcJc m:val="right"/>
                    <m:count m:val="1"/>
                  </m:mcPr>
                </m:mc>
              </m:mcs>
            </m:mPr>
            <m:mr>
              <m:e>
                <m:r>
                  <m:t>G</m:t>
                </m:r>
              </m:e>
              <m:e>
                <m:r>
                  <m:t>=</m:t>
                </m:r>
              </m:e>
              <m:e>
                <m:r>
                  <m:t>g</m:t>
                </m:r>
              </m:e>
            </m:mr>
            <m:mr>
              <m:e>
                <m:r>
                  <m:t>M</m:t>
                </m:r>
              </m:e>
              <m:e>
                <m:r>
                  <m:t>=</m:t>
                </m:r>
              </m:e>
              <m:e>
                <m:rad>
                  <m:radPr>
                    <m:degHide m:val="1"/>
                  </m:radPr>
                  <m:deg/>
                  <m:e>
                    <m:sSubSup>
                      <m:e>
                        <m:r>
                          <m:t>g</m:t>
                        </m:r>
                      </m:e>
                      <m:sub>
                        <m:r>
                          <m:t>x</m:t>
                        </m:r>
                      </m:sub>
                      <m:sup>
                        <m:r>
                          <m:t>2</m:t>
                        </m:r>
                      </m:sup>
                    </m:sSubSup>
                    <m:r>
                      <m:t>+</m:t>
                    </m:r>
                    <m:sSubSup>
                      <m:e>
                        <m:r>
                          <m:t>g</m:t>
                        </m:r>
                      </m:e>
                      <m:sub>
                        <m:r>
                          <m:t>y</m:t>
                        </m:r>
                      </m:sub>
                      <m:sup>
                        <m:r>
                          <m:t>2</m:t>
                        </m:r>
                      </m:sup>
                    </m:sSubSup>
                    <m:r>
                      <m:t>+</m:t>
                    </m:r>
                    <m:sSubSup>
                      <m:e>
                        <m:r>
                          <m:t>g</m:t>
                        </m:r>
                      </m:e>
                      <m:sub>
                        <m:r>
                          <m:t>z</m:t>
                        </m:r>
                      </m:sub>
                      <m:sup>
                        <m:r>
                          <m:t>2</m:t>
                        </m:r>
                      </m:sup>
                    </m:sSubSup>
                  </m:e>
                </m:rad>
              </m:e>
            </m:mr>
            <m:mr>
              <m:e>
                <m:r>
                  <m:t>L</m:t>
                </m:r>
              </m:e>
              <m:e>
                <m:r>
                  <m:t>=</m:t>
                </m:r>
              </m:e>
              <m:e>
                <m:sSub>
                  <m:e>
                    <m:r>
                      <m:t>g</m:t>
                    </m:r>
                  </m:e>
                  <m:sub>
                    <m:r>
                      <m:t>y</m:t>
                    </m:r>
                    <m:r>
                      <m:t>y</m:t>
                    </m:r>
                  </m:sub>
                </m:sSub>
                <m:r>
                  <m:t>+</m:t>
                </m:r>
                <m:sSub>
                  <m:e>
                    <m:r>
                      <m:t>g</m:t>
                    </m:r>
                  </m:e>
                  <m:sub>
                    <m:r>
                      <m:t>y</m:t>
                    </m:r>
                    <m:r>
                      <m:t>y</m:t>
                    </m:r>
                  </m:sub>
                </m:sSub>
                <m:r>
                  <m:t>+</m:t>
                </m:r>
                <m:sSub>
                  <m:e>
                    <m:r>
                      <m:t>g</m:t>
                    </m:r>
                  </m:e>
                  <m:sub>
                    <m:r>
                      <m:t>z</m:t>
                    </m:r>
                    <m:r>
                      <m:t>z</m:t>
                    </m:r>
                  </m:sub>
                </m:sSub>
              </m:e>
            </m:mr>
            <m:mr>
              <m:e>
                <m:r>
                  <m:t>H</m:t>
                </m:r>
              </m:e>
              <m:e>
                <m:r>
                  <m:t>=</m:t>
                </m:r>
              </m:e>
              <m:e>
                <m:rad>
                  <m:radPr>
                    <m:degHide m:val="1"/>
                  </m:radPr>
                  <m:deg/>
                  <m:e>
                    <m:sSubSup>
                      <m:e>
                        <m:r>
                          <m:t>g</m:t>
                        </m:r>
                      </m:e>
                      <m:sub>
                        <m:r>
                          <m:t>x</m:t>
                        </m:r>
                        <m:r>
                          <m:t>x</m:t>
                        </m:r>
                      </m:sub>
                      <m:sup>
                        <m:r>
                          <m:t>2</m:t>
                        </m:r>
                      </m:sup>
                    </m:sSubSup>
                    <m:r>
                      <m:t>+</m:t>
                    </m:r>
                    <m:r>
                      <m:t>2</m:t>
                    </m:r>
                    <m:sSubSup>
                      <m:e>
                        <m:r>
                          <m:t>g</m:t>
                        </m:r>
                      </m:e>
                      <m:sub>
                        <m:r>
                          <m:t>x</m:t>
                        </m:r>
                        <m:r>
                          <m:t>y</m:t>
                        </m:r>
                      </m:sub>
                      <m:sup>
                        <m:r>
                          <m:t>2</m:t>
                        </m:r>
                      </m:sup>
                    </m:sSubSup>
                    <m:r>
                      <m:t>+</m:t>
                    </m:r>
                    <m:r>
                      <m:t>2</m:t>
                    </m:r>
                    <m:sSubSup>
                      <m:e>
                        <m:r>
                          <m:t>g</m:t>
                        </m:r>
                      </m:e>
                      <m:sub>
                        <m:r>
                          <m:t>x</m:t>
                        </m:r>
                        <m:r>
                          <m:t>z</m:t>
                        </m:r>
                      </m:sub>
                      <m:sup>
                        <m:r>
                          <m:t>2</m:t>
                        </m:r>
                      </m:sup>
                    </m:sSubSup>
                    <m:r>
                      <m:t>+</m:t>
                    </m:r>
                    <m:sSubSup>
                      <m:e>
                        <m:r>
                          <m:t>g</m:t>
                        </m:r>
                      </m:e>
                      <m:sub>
                        <m:r>
                          <m:t>y</m:t>
                        </m:r>
                        <m:r>
                          <m:t>y</m:t>
                        </m:r>
                      </m:sub>
                      <m:sup>
                        <m:r>
                          <m:t>2</m:t>
                        </m:r>
                      </m:sup>
                    </m:sSubSup>
                    <m:r>
                      <m:t>+</m:t>
                    </m:r>
                    <m:sSubSup>
                      <m:e>
                        <m:r>
                          <m:t>g</m:t>
                        </m:r>
                      </m:e>
                      <m:sub>
                        <m:r>
                          <m:t>y</m:t>
                        </m:r>
                        <m:r>
                          <m:t>z</m:t>
                        </m:r>
                      </m:sub>
                      <m:sup>
                        <m:r>
                          <m:t>2</m:t>
                        </m:r>
                      </m:sup>
                    </m:sSubSup>
                    <m:r>
                      <m:t>+</m:t>
                    </m:r>
                    <m:sSubSup>
                      <m:e>
                        <m:r>
                          <m:t>g</m:t>
                        </m:r>
                      </m:e>
                      <m:sub>
                        <m:r>
                          <m:t>z</m:t>
                        </m:r>
                        <m:r>
                          <m:t>z</m:t>
                        </m:r>
                      </m:sub>
                      <m:sup>
                        <m:r>
                          <m:t>2</m:t>
                        </m:r>
                      </m:sup>
                    </m:sSubSup>
                  </m:e>
                </m:rad>
              </m:e>
            </m:mr>
          </m:m>
        </m:oMath>
      </m:oMathPara>
    </w:p>
    <w:p>
      <w:pPr>
        <w:pStyle w:val="FirstParagraph"/>
      </w:pPr>
      <w:r>
        <w:t xml:space="preserve">This resulted in a 39 dimensional feature vector at each voxel (Figure 1).</w:t>
      </w:r>
    </w:p>
    <w:p>
      <w:pPr>
        <w:pStyle w:val="FigureWithCaption"/>
      </w:pPr>
      <w:r>
        <w:drawing>
          <wp:inline>
            <wp:extent cx="1639200" cy="776400"/>
            <wp:effectExtent b="0" l="0" r="0" t="0"/>
            <wp:docPr descr="Features.  For each of the intensity-corrected T1, T2, and FLAIR images (left), four 3D rotationally-invariant derivative-based local image filters were computed, consisting of the Gaussian, magnitude of the gradient, Laplacian of Gaussian, and magnitude of the Hessian (middle).  Each was computed at three spatial scales or levels (2, 4, and 8 times lower resolution), shown for the T1 image contrast (right), resulting in a 39-feature vector for each voxel. " title="" id="1" name="Picture"/>
            <a:graphic>
              <a:graphicData uri="http://schemas.openxmlformats.org/drawingml/2006/picture">
                <pic:pic>
                  <pic:nvPicPr>
                    <pic:cNvPr descr="figures/Snyder-figS2/Snyder-figS2.png" id="0" name="Picture"/>
                    <pic:cNvPicPr>
                      <a:picLocks noChangeArrowheads="1" noChangeAspect="1"/>
                    </pic:cNvPicPr>
                  </pic:nvPicPr>
                  <pic:blipFill>
                    <a:blip r:embed="rId32"/>
                    <a:stretch>
                      <a:fillRect/>
                    </a:stretch>
                  </pic:blipFill>
                  <pic:spPr bwMode="auto">
                    <a:xfrm>
                      <a:off x="0" y="0"/>
                      <a:ext cx="1639200" cy="776400"/>
                    </a:xfrm>
                    <a:prstGeom prst="rect">
                      <a:avLst/>
                    </a:prstGeom>
                    <a:noFill/>
                    <a:ln w="9525">
                      <a:noFill/>
                      <a:headEnd/>
                      <a:tailEnd/>
                    </a:ln>
                  </pic:spPr>
                </pic:pic>
              </a:graphicData>
            </a:graphic>
          </wp:inline>
        </w:drawing>
      </w:r>
    </w:p>
    <w:p>
      <w:pPr>
        <w:pStyle w:val="ImageCaption"/>
      </w:pPr>
      <w:r>
        <w:t xml:space="preserve">Features.  For each of the intensity-corrected T1, T2, and FLAIR images</w:t>
      </w:r>
      <w:r>
        <w:t xml:space="preserve"> </w:t>
      </w:r>
      <w:r>
        <w:t xml:space="preserve">(left), four 3D rotationally-invariant derivative-based local image</w:t>
      </w:r>
      <w:r>
        <w:t xml:space="preserve"> </w:t>
      </w:r>
      <w:r>
        <w:t xml:space="preserve">filters were computed, consisting of the Gaussian, magnitude of the</w:t>
      </w:r>
      <w:r>
        <w:t xml:space="preserve"> </w:t>
      </w:r>
      <w:r>
        <w:t xml:space="preserve">gradient, Laplacian of Gaussian, and magnitude of the Hessian (middle). </w:t>
      </w:r>
      <w:r>
        <w:t xml:space="preserve"> </w:t>
      </w:r>
      <w:r>
        <w:t xml:space="preserve">Each was computed at three spatial scales or levels (2, 4, and 8 times</w:t>
      </w:r>
      <w:r>
        <w:t xml:space="preserve"> </w:t>
      </w:r>
      <w:r>
        <w:t xml:space="preserve">lower resolution), shown for the T1 image contrast (right), resulting in</w:t>
      </w:r>
      <w:r>
        <w:t xml:space="preserve"> </w:t>
      </w:r>
      <w:r>
        <w:t xml:space="preserve">a 39-feature vector for each voxel.</w:t>
      </w:r>
      <w:r>
        <w:t xml:space="preserve"> </w:t>
      </w:r>
    </w:p>
    <w:p>
      <w:pPr>
        <w:pStyle w:val="BodyText"/>
      </w:pPr>
      <w:r>
        <w:br w:type="textWrapping"/>
      </w:r>
    </w:p>
    <w:p>
      <w:pPr>
        <w:pStyle w:val="Heading2"/>
      </w:pPr>
      <w:bookmarkStart w:id="33" w:name="normative-model-generation"/>
      <w:bookmarkEnd w:id="33"/>
      <w:r>
        <w:t xml:space="preserve">Normative Model</w:t>
      </w:r>
      <w:r>
        <w:t xml:space="preserve"> </w:t>
      </w:r>
      <w:r>
        <w:t xml:space="preserve">Generation</w:t>
      </w:r>
    </w:p>
    <w:p>
      <w:pPr>
        <w:pStyle w:val="FirstParagraph"/>
      </w:pPr>
      <w:r>
        <w:t xml:space="preserve">Next, we sought to create a normative model to represent the variability</w:t>
      </w:r>
      <w:r>
        <w:t xml:space="preserve"> </w:t>
      </w:r>
      <w:r>
        <w:t xml:space="preserve">seen across the cortical sheet in healthy volunteers in our feature</w:t>
      </w:r>
      <w:r>
        <w:t xml:space="preserve"> </w:t>
      </w:r>
      <w:r>
        <w:t xml:space="preserve">space (see overview in Figure 2).  This normative model then served as</w:t>
      </w:r>
      <w:r>
        <w:t xml:space="preserve"> </w:t>
      </w:r>
      <w:r>
        <w:t xml:space="preserve">the basis for our outlier detection approach to identify FCDs.  The</w:t>
      </w:r>
      <w:r>
        <w:t xml:space="preserve"> </w:t>
      </w:r>
      <w:r>
        <w:t xml:space="preserve">characteristic MR findings of FCDs tend to be centered around the gray</w:t>
      </w:r>
      <w:r>
        <w:t xml:space="preserve"> </w:t>
      </w:r>
      <w:r>
        <w:t xml:space="preserve">matter - white matter junction (GWJ), with characteristic alterations in</w:t>
      </w:r>
      <w:r>
        <w:t xml:space="preserve"> </w:t>
      </w:r>
      <w:r>
        <w:t xml:space="preserve">signal intensity in the cortical gray matter and underlying white matter</w:t>
      </w:r>
      <w:r>
        <w:t xml:space="preserve"> </w:t>
      </w:r>
      <w:r>
        <w:t xml:space="preserve">as well as blurring of the gray-white junction.  Since our features are</w:t>
      </w:r>
      <w:r>
        <w:t xml:space="preserve"> </w:t>
      </w:r>
      <w:r>
        <w:t xml:space="preserve">designed to represent the local neighborhood surrounding each voxel, we</w:t>
      </w:r>
      <w:r>
        <w:t xml:space="preserve"> </w:t>
      </w:r>
      <w:r>
        <w:t xml:space="preserve">hypothesized that these characteristic FCD-related abnormalities could</w:t>
      </w:r>
      <w:r>
        <w:t xml:space="preserve"> </w:t>
      </w:r>
      <w:r>
        <w:t xml:space="preserve">be identified by focusing on the voxels at and surrounding the GWJ.  We</w:t>
      </w:r>
      <w:r>
        <w:t xml:space="preserve"> </w:t>
      </w:r>
      <w:r>
        <w:t xml:space="preserve">therefore sampled our 39 feature vector onto the the FreeSurfer</w:t>
      </w:r>
      <w:r>
        <w:t xml:space="preserve"> </w:t>
      </w:r>
      <w:r>
        <w:t xml:space="preserve">generated smooth white matter surface and standardized each feature</w:t>
      </w:r>
      <w:r>
        <w:t xml:space="preserve"> </w:t>
      </w:r>
      <w:r>
        <w:t xml:space="preserve">within each subject.  This was followed by dimensionality reduction and</w:t>
      </w:r>
      <w:r>
        <w:t xml:space="preserve"> </w:t>
      </w:r>
      <w:r>
        <w:t xml:space="preserve">whitening using principal component analysis (PCA) of all cortical</w:t>
      </w:r>
      <w:r>
        <w:t xml:space="preserve"> </w:t>
      </w:r>
      <w:r>
        <w:t xml:space="preserve">vertices across all HVs implemented in scikit-learn in</w:t>
      </w:r>
      <w:r>
        <w:t xml:space="preserve"> </w:t>
      </w:r>
      <w:r>
        <w:t xml:space="preserve">Python (Pedregosa et al., 2011), retaining 14 components explaining 90% of</w:t>
      </w:r>
      <w:r>
        <w:t xml:space="preserve"> </w:t>
      </w:r>
      <w:r>
        <w:t xml:space="preserve">the variance.  </w:t>
      </w:r>
    </w:p>
    <w:p>
      <w:pPr>
        <w:pStyle w:val="BodyText"/>
      </w:pPr>
      <w:r>
        <w:t xml:space="preserve">Next, in order to facilitate more straightforward multivariate outlier</w:t>
      </w:r>
      <w:r>
        <w:t xml:space="preserve"> </w:t>
      </w:r>
      <w:r>
        <w:t xml:space="preserve">detection, we implemented a rotation-based iterative Gaussianization</w:t>
      </w:r>
      <w:r>
        <w:t xml:space="preserve"> </w:t>
      </w:r>
      <w:r>
        <w:t xml:space="preserve">(RBIG) procedure to transform the data into a latent representation with</w:t>
      </w:r>
      <w:r>
        <w:t xml:space="preserve"> </w:t>
      </w:r>
      <w:r>
        <w:t xml:space="preserve">a known probability density function (PDF), in this case a multivariate</w:t>
      </w:r>
      <w:r>
        <w:t xml:space="preserve"> </w:t>
      </w:r>
      <w:r>
        <w:t xml:space="preserve">Gaussian distribution (Figure 2) (Laparra et al., 2011).  This is a form of</w:t>
      </w:r>
      <w:r>
        <w:t xml:space="preserve"> </w:t>
      </w:r>
      <w:r>
        <w:t xml:space="preserve">representation learning similar to an auto-encoder, in which the data</w:t>
      </w:r>
      <w:r>
        <w:t xml:space="preserve"> </w:t>
      </w:r>
      <w:r>
        <w:t xml:space="preserve">undergoes a nonlinear transformation to facilitate more straightforward</w:t>
      </w:r>
      <w:r>
        <w:t xml:space="preserve"> </w:t>
      </w:r>
      <w:r>
        <w:t xml:space="preserve">statistical inferences (Bengio et al., 2013).   Amongst the many available</w:t>
      </w:r>
      <w:r>
        <w:t xml:space="preserve"> </w:t>
      </w:r>
      <w:r>
        <w:t xml:space="preserve">methods, we selected this representation specifically to allow for</w:t>
      </w:r>
      <w:r>
        <w:t xml:space="preserve"> </w:t>
      </w:r>
      <w:r>
        <w:t xml:space="preserve">straightforward estimations of outlierness, as well as estimates of</w:t>
      </w:r>
      <w:r>
        <w:t xml:space="preserve"> </w:t>
      </w:r>
      <w:r>
        <w:t xml:space="preserve">similarity of vertices across the cortical sheet.  The RBIG procedure</w:t>
      </w:r>
      <w:r>
        <w:t xml:space="preserve"> </w:t>
      </w:r>
      <w:r>
        <w:t xml:space="preserve">consists of 10 iterations of a pair of sequential transformations: 1) a</w:t>
      </w:r>
      <w:r>
        <w:t xml:space="preserve"> </w:t>
      </w:r>
      <w:r>
        <w:t xml:space="preserve">non-linear univariate Gaussianization transformation applied to each of</w:t>
      </w:r>
      <w:r>
        <w:t xml:space="preserve"> </w:t>
      </w:r>
      <w:r>
        <w:t xml:space="preserve">the data matrix columns (marginals)  that converts percentile scores</w:t>
      </w:r>
      <w:r>
        <w:t xml:space="preserve"> </w:t>
      </w:r>
      <w:r>
        <w:t xml:space="preserve">computed using the rank transformation to standard scores</w:t>
      </w:r>
      <w:r>
        <w:t xml:space="preserve"> </w:t>
      </w:r>
      <w:r>
        <w:t xml:space="preserve">(scikit-learn’s QuantileTransformer); and 2) a linear orthogonal</w:t>
      </w:r>
      <w:r>
        <w:t xml:space="preserve"> </w:t>
      </w:r>
      <w:r>
        <w:t xml:space="preserve">transformation applied to the entire data matrix using PCA, retaining</w:t>
      </w:r>
      <w:r>
        <w:t xml:space="preserve"> </w:t>
      </w:r>
      <w:r>
        <w:t xml:space="preserve">all components after each iteration (Laparra et al., 2011).  Source code for</w:t>
      </w:r>
      <w:r>
        <w:t xml:space="preserve"> </w:t>
      </w:r>
      <w:r>
        <w:t xml:space="preserve">generating the features and model is publicly available on GitHub as</w:t>
      </w:r>
      <w:r>
        <w:t xml:space="preserve"> </w:t>
      </w:r>
      <w:r>
        <w:t xml:space="preserve">part of the </w:t>
      </w:r>
      <w:hyperlink r:id="rId34">
        <w:r>
          <w:rPr>
            <w:rStyle w:val="Hyperlink"/>
          </w:rPr>
          <w:t xml:space="preserve">JEM</w:t>
        </w:r>
      </w:hyperlink>
      <w:r>
        <w:t xml:space="preserve"> python package</w:t>
      </w:r>
      <w:r>
        <w:t xml:space="preserve"> </w:t>
      </w:r>
      <w:r>
        <w:t xml:space="preserve">(</w:t>
      </w:r>
      <w:hyperlink r:id="rId35">
        <w:r>
          <w:rPr>
            <w:rStyle w:val="Hyperlink"/>
          </w:rPr>
          <w:t xml:space="preserve">http://github.com/InatiLab/jem</w:t>
        </w:r>
      </w:hyperlink>
      <w:r>
        <w:t xml:space="preserve">).</w:t>
      </w:r>
    </w:p>
    <w:p>
      <w:pPr>
        <w:pStyle w:val="BodyText"/>
      </w:pPr>
      <w:r>
        <w:br w:type="textWrapping"/>
      </w:r>
    </w:p>
    <w:p>
      <w:pPr>
        <w:pStyle w:val="FigureWithCaption"/>
      </w:pPr>
      <w:r>
        <w:drawing>
          <wp:inline>
            <wp:extent cx="5334000" cy="2974811"/>
            <wp:effectExtent b="0" l="0" r="0" t="0"/>
            <wp:docPr descr="Methods Overview.  1) Raw T1, T2, and FLAIR images were intensity corrected, 2) local image filters were computed in the volume then 3) sampled onto the gray-white junction surface; each feature was standardized within each subject.   4) Across healthy volunteers, dimensionality reduction was carried out using PCA, resulting in 14 features explaining 90% of the variance.  5) Iterative Gaussianization was used to nonlinearly convert each feature to a Gaussian distribution, creating a normative model of cortical variability.  6)  An average FCD vector was computed across all visually identifiable FCDs in our patient sample.  Similarity to the average FCD vector was assessed by projecting each patch onto the average FCD unit vector.  Local normalization was performed for each cortical location by subtracting the mean across homotopic patches in healthy volunteers at each location.  The purple HV homotopic patches can be seen to become centered around 0 following local normalization, while the FCD location becomes more atypical along both the FCD PC1 and PC2 directions.  7)  Following local normalization, the similarity maps were created based on the projection onto the mean FCD unit vector at each cortical location.  These maps were thresholded at 1%, retaining clusters of &gt; 5 vertices, then an optimal threshold for mean cluster similarity was defined to distinguish between true positive FCD clusters and false positive clusters in healthy volunteers.  Clusters above this threshold are detected as FCDs. " title="" id="1" name="Picture"/>
            <a:graphic>
              <a:graphicData uri="http://schemas.openxmlformats.org/drawingml/2006/picture">
                <pic:pic>
                  <pic:nvPicPr>
                    <pic:cNvPr descr="figures/Snyder-Fig2-lowres/Snyder-Fig2-lowres.png" id="0" name="Picture"/>
                    <pic:cNvPicPr>
                      <a:picLocks noChangeArrowheads="1" noChangeAspect="1"/>
                    </pic:cNvPicPr>
                  </pic:nvPicPr>
                  <pic:blipFill>
                    <a:blip r:embed="rId36"/>
                    <a:stretch>
                      <a:fillRect/>
                    </a:stretch>
                  </pic:blipFill>
                  <pic:spPr bwMode="auto">
                    <a:xfrm>
                      <a:off x="0" y="0"/>
                      <a:ext cx="5334000" cy="2974811"/>
                    </a:xfrm>
                    <a:prstGeom prst="rect">
                      <a:avLst/>
                    </a:prstGeom>
                    <a:noFill/>
                    <a:ln w="9525">
                      <a:noFill/>
                      <a:headEnd/>
                      <a:tailEnd/>
                    </a:ln>
                  </pic:spPr>
                </pic:pic>
              </a:graphicData>
            </a:graphic>
          </wp:inline>
        </w:drawing>
      </w:r>
    </w:p>
    <w:p>
      <w:pPr>
        <w:pStyle w:val="ImageCaption"/>
      </w:pPr>
      <w:r>
        <w:t xml:space="preserve">Methods Overview.  1) Raw T1, T2, and FLAIR images were intensity</w:t>
      </w:r>
      <w:r>
        <w:t xml:space="preserve"> </w:t>
      </w:r>
      <w:r>
        <w:t xml:space="preserve">corrected, 2) local image filters were computed in the volume then 3)</w:t>
      </w:r>
      <w:r>
        <w:t xml:space="preserve"> </w:t>
      </w:r>
      <w:r>
        <w:t xml:space="preserve">sampled onto the gray-white junction surface; each feature was</w:t>
      </w:r>
      <w:r>
        <w:t xml:space="preserve"> </w:t>
      </w:r>
      <w:r>
        <w:t xml:space="preserve">standardized within each subject.   4) Across healthy volunteers,</w:t>
      </w:r>
      <w:r>
        <w:t xml:space="preserve"> </w:t>
      </w:r>
      <w:r>
        <w:t xml:space="preserve">dimensionality reduction was carried out using PCA, resulting in 14</w:t>
      </w:r>
      <w:r>
        <w:t xml:space="preserve"> </w:t>
      </w:r>
      <w:r>
        <w:t xml:space="preserve">features explaining 90% of the variance.  5) Iterative Gaussianization</w:t>
      </w:r>
      <w:r>
        <w:t xml:space="preserve"> </w:t>
      </w:r>
      <w:r>
        <w:t xml:space="preserve">was used to nonlinearly convert each feature to a Gaussian distribution,</w:t>
      </w:r>
      <w:r>
        <w:t xml:space="preserve"> </w:t>
      </w:r>
      <w:r>
        <w:t xml:space="preserve">creating a normative model of cortical variability.  6)  An average FCD</w:t>
      </w:r>
      <w:r>
        <w:t xml:space="preserve"> </w:t>
      </w:r>
      <w:r>
        <w:t xml:space="preserve">vector was computed across all visually identifiable FCDs in our patient</w:t>
      </w:r>
      <w:r>
        <w:t xml:space="preserve"> </w:t>
      </w:r>
      <w:r>
        <w:t xml:space="preserve">sample.  Similarity to the average FCD vector was assessed by projecting</w:t>
      </w:r>
      <w:r>
        <w:t xml:space="preserve"> </w:t>
      </w:r>
      <w:r>
        <w:t xml:space="preserve">each patch onto the average FCD unit vector.  Local normalization was</w:t>
      </w:r>
      <w:r>
        <w:t xml:space="preserve"> </w:t>
      </w:r>
      <w:r>
        <w:t xml:space="preserve">performed for each cortical location by subtracting the mean across</w:t>
      </w:r>
      <w:r>
        <w:t xml:space="preserve"> </w:t>
      </w:r>
      <w:r>
        <w:t xml:space="preserve">homotopic patches in healthy volunteers at each location.  The purple HV</w:t>
      </w:r>
      <w:r>
        <w:t xml:space="preserve"> </w:t>
      </w:r>
      <w:r>
        <w:t xml:space="preserve">homotopic patches can be seen to become centered around 0 following</w:t>
      </w:r>
      <w:r>
        <w:t xml:space="preserve"> </w:t>
      </w:r>
      <w:r>
        <w:t xml:space="preserve">local normalization, while the FCD location becomes more atypical along</w:t>
      </w:r>
      <w:r>
        <w:t xml:space="preserve"> </w:t>
      </w:r>
      <w:r>
        <w:t xml:space="preserve">both the FCD PC1 and PC2 directions.  7)  Following local normalization,</w:t>
      </w:r>
      <w:r>
        <w:t xml:space="preserve"> </w:t>
      </w:r>
      <w:r>
        <w:t xml:space="preserve">the similarity maps were created based on the projection onto the mean</w:t>
      </w:r>
      <w:r>
        <w:t xml:space="preserve"> </w:t>
      </w:r>
      <w:r>
        <w:t xml:space="preserve">FCD unit vector at each cortical location.  These maps were thresholded</w:t>
      </w:r>
      <w:r>
        <w:t xml:space="preserve"> </w:t>
      </w:r>
      <w:r>
        <w:t xml:space="preserve">at 1%, retaining clusters of &gt; 5 vertices, then an optimal</w:t>
      </w:r>
      <w:r>
        <w:t xml:space="preserve"> </w:t>
      </w:r>
      <w:r>
        <w:t xml:space="preserve">threshold for mean cluster similarity was defined to distinguish between</w:t>
      </w:r>
      <w:r>
        <w:t xml:space="preserve"> </w:t>
      </w:r>
      <w:r>
        <w:t xml:space="preserve">true positive FCD clusters and false positive clusters in healthy</w:t>
      </w:r>
      <w:r>
        <w:t xml:space="preserve"> </w:t>
      </w:r>
      <w:r>
        <w:t xml:space="preserve">volunteers.  Clusters above this threshold are detected as FCDs.</w:t>
      </w:r>
      <w:r>
        <w:t xml:space="preserve"> </w:t>
      </w:r>
    </w:p>
    <w:p>
      <w:pPr>
        <w:pStyle w:val="Heading2"/>
      </w:pPr>
      <w:bookmarkStart w:id="37" w:name="prediction-of-typical-features"/>
      <w:bookmarkEnd w:id="37"/>
      <w:r>
        <w:t xml:space="preserve">Prediction of Typical</w:t>
      </w:r>
      <w:r>
        <w:t xml:space="preserve"> </w:t>
      </w:r>
      <w:r>
        <w:t xml:space="preserve">Features</w:t>
      </w:r>
    </w:p>
    <w:p>
      <w:pPr>
        <w:pStyle w:val="FirstParagraph"/>
      </w:pPr>
      <w:r>
        <w:t xml:space="preserve">Because this model theoretically represents an efficient and</w:t>
      </w:r>
      <w:r>
        <w:t xml:space="preserve"> </w:t>
      </w:r>
      <w:r>
        <w:t xml:space="preserve">over-complete representation of the local features of each image, we</w:t>
      </w:r>
      <w:r>
        <w:t xml:space="preserve"> </w:t>
      </w:r>
      <w:r>
        <w:t xml:space="preserve">hypothesized that we should be able to predict the values of other</w:t>
      </w:r>
      <w:r>
        <w:t xml:space="preserve"> </w:t>
      </w:r>
      <w:r>
        <w:t xml:space="preserve">commonly used local features such as curvature, sulcal depth, cortical</w:t>
      </w:r>
      <w:r>
        <w:t xml:space="preserve"> </w:t>
      </w:r>
      <w:r>
        <w:t xml:space="preserve">thickness, and gray/white contrast (as calculated using FreeSurfer) or</w:t>
      </w:r>
      <w:r>
        <w:t xml:space="preserve"> </w:t>
      </w:r>
      <w:r>
        <w:t xml:space="preserve">measures of myelination, here calculated by dividing the</w:t>
      </w:r>
      <w:r>
        <w:t xml:space="preserve"> </w:t>
      </w:r>
      <w:r>
        <w:t xml:space="preserve">T</w:t>
      </w:r>
      <w:r>
        <w:rPr>
          <w:vertAlign w:val="subscript"/>
        </w:rPr>
        <w:t xml:space="preserve">1  </w:t>
      </w:r>
      <w:r>
        <w:t xml:space="preserve">by the T</w:t>
      </w:r>
      <w:r>
        <w:rPr>
          <w:vertAlign w:val="subscript"/>
        </w:rPr>
        <w:t xml:space="preserve">2</w:t>
      </w:r>
      <w:r>
        <w:t xml:space="preserve"> </w:t>
      </w:r>
      <w:r>
        <w:t xml:space="preserve">intensity, as</w:t>
      </w:r>
      <w:r>
        <w:t xml:space="preserve"> </w:t>
      </w:r>
      <w:r>
        <w:t xml:space="preserve">in  (Glasser and Essen, 2011), sampled onto the gray-white junction surface. </w:t>
      </w:r>
      <w:r>
        <w:t xml:space="preserve"> </w:t>
      </w:r>
      <w:r>
        <w:t xml:space="preserve">Using scikit-learn, our feature set served as the input to ordinary</w:t>
      </w:r>
      <w:r>
        <w:t xml:space="preserve"> </w:t>
      </w:r>
      <w:r>
        <w:t xml:space="preserve">least-squares regression models (polynomial order 2), predicting each</w:t>
      </w:r>
      <w:r>
        <w:t xml:space="preserve"> </w:t>
      </w:r>
      <w:r>
        <w:t xml:space="preserve">target feature. We trained on the data from half of the HVs and tested</w:t>
      </w:r>
      <w:r>
        <w:t xml:space="preserve"> </w:t>
      </w:r>
      <w:r>
        <w:t xml:space="preserve">on the other half.  </w:t>
      </w:r>
    </w:p>
    <w:p>
      <w:pPr>
        <w:pStyle w:val="Heading2"/>
      </w:pPr>
      <w:bookmarkStart w:id="38" w:name="outlier-detection"/>
      <w:bookmarkEnd w:id="38"/>
      <w:r>
        <w:t xml:space="preserve">Outlier Detection</w:t>
      </w:r>
    </w:p>
    <w:p>
      <w:pPr>
        <w:pStyle w:val="FirstParagraph"/>
      </w:pPr>
      <w:r>
        <w:t xml:space="preserve">Using our normative model of cortical variability, we wished to identify</w:t>
      </w:r>
      <w:r>
        <w:t xml:space="preserve"> </w:t>
      </w:r>
      <w:r>
        <w:t xml:space="preserve">whether vertices within FCD lesions appeared as global outliers compared</w:t>
      </w:r>
      <w:r>
        <w:t xml:space="preserve"> </w:t>
      </w:r>
      <w:r>
        <w:t xml:space="preserve">to non-lesional vertices in healthy volunteers.  To smooth the data and</w:t>
      </w:r>
      <w:r>
        <w:t xml:space="preserve"> </w:t>
      </w:r>
      <w:r>
        <w:t xml:space="preserve">facilitate comparisons across subjects, we created patches centered at</w:t>
      </w:r>
      <w:r>
        <w:t xml:space="preserve"> </w:t>
      </w:r>
      <w:r>
        <w:t xml:space="preserve">every vertex, including all neighboring vertices within a 5 mm radius,</w:t>
      </w:r>
      <w:r>
        <w:t xml:space="preserve"> </w:t>
      </w:r>
      <w:r>
        <w:t xml:space="preserve">and used this smoothed data for all subsequent analyses.  This radius</w:t>
      </w:r>
      <w:r>
        <w:t xml:space="preserve"> </w:t>
      </w:r>
      <w:r>
        <w:t xml:space="preserve">was selected to be small enough to identify changes within specific</w:t>
      </w:r>
      <w:r>
        <w:t xml:space="preserve"> </w:t>
      </w:r>
      <w:r>
        <w:t xml:space="preserve">gyri/sulci, and large enough to minimize local noise and artifacts, and</w:t>
      </w:r>
      <w:r>
        <w:t xml:space="preserve"> </w:t>
      </w:r>
      <w:r>
        <w:t xml:space="preserve">is similar to the smoothing size used in similar studies, for</w:t>
      </w:r>
      <w:r>
        <w:t xml:space="preserve"> </w:t>
      </w:r>
      <w:r>
        <w:t xml:space="preserve">example (Adler et al., 2017). For each patch </w:t>
      </w:r>
      <m:oMath>
        <m:r>
          <m:t>p</m:t>
        </m:r>
      </m:oMath>
      <w:r>
        <w:t xml:space="preserve">, the</w:t>
      </w:r>
      <w:r>
        <w:t xml:space="preserve"> </w:t>
      </w:r>
      <w:r>
        <w:t xml:space="preserve">center </w:t>
      </w:r>
      <m:oMath>
        <m:sSub>
          <m:e>
            <m:r>
              <m:rPr>
                <m:sty m:val="b"/>
              </m:rPr>
              <m:t>m</m:t>
            </m:r>
          </m:e>
          <m:sub>
            <m:r>
              <m:t>p</m:t>
            </m:r>
          </m:sub>
        </m:sSub>
      </m:oMath>
      <w:r>
        <w:t xml:space="preserve"> </w:t>
      </w:r>
      <w:r>
        <w:t xml:space="preserve">was computed by averaging the feature vectors</w:t>
      </w:r>
      <w:r>
        <w:t xml:space="preserve"> </w:t>
      </w:r>
      <w:r>
        <w:t xml:space="preserve">of the vertices within the patch: </w:t>
      </w:r>
      <m:oMath>
        <m:sSub>
          <m:e>
            <m:r>
              <m:rPr>
                <m:sty m:val="b"/>
              </m:rPr>
              <m:t>m</m:t>
            </m:r>
          </m:e>
          <m:sub>
            <m:r>
              <m:t>p</m:t>
            </m:r>
          </m:sub>
        </m:sSub>
        <m:r>
          <m:t>=</m:t>
        </m:r>
        <m:nary>
          <m:naryPr>
            <m:chr m:val="∑"/>
            <m:limLoc m:val="undOvr"/>
            <m:subHide m:val="0"/>
            <m:supHide m:val="1"/>
          </m:naryPr>
          <m:sub>
            <m:r>
              <m:rPr>
                <m:sty m:val="b"/>
              </m:rPr>
              <m:t>x</m:t>
            </m:r>
            <m:r>
              <m:t>∈</m:t>
            </m:r>
            <m:r>
              <m:t>p</m:t>
            </m:r>
          </m:sub>
          <m:sup/>
          <m:e>
            <m:r>
              <m:rPr>
                <m:sty m:val="b"/>
              </m:rPr>
              <m:t>f</m:t>
            </m:r>
          </m:e>
        </m:nary>
        <m:r>
          <m:t>(</m:t>
        </m:r>
        <m:r>
          <m:rPr>
            <m:sty m:val="b"/>
          </m:rPr>
          <m:t>x</m:t>
        </m:r>
        <m:r>
          <m:t>)</m:t>
        </m:r>
      </m:oMath>
      <w:r>
        <w:t xml:space="preserve">. The</w:t>
      </w:r>
      <w:r>
        <w:t xml:space="preserve"> </w:t>
      </w:r>
      <w:r>
        <w:t xml:space="preserve">direction </w:t>
      </w:r>
      <m:oMath>
        <m:sSub>
          <m:e>
            <m:groupChr>
              <m:groupChrPr>
                <m:chr m:val="^"/>
                <m:pos m:val="top"/>
                <m:vertJc m:val="bot"/>
              </m:groupChrPr>
              <m:e>
                <m:r>
                  <m:rPr>
                    <m:sty m:val="b"/>
                  </m:rPr>
                  <m:t>u</m:t>
                </m:r>
              </m:e>
            </m:groupChr>
          </m:e>
          <m:sub>
            <m:r>
              <m:t>p</m:t>
            </m:r>
          </m:sub>
        </m:sSub>
      </m:oMath>
      <w:r>
        <w:t xml:space="preserve">, the unit vector pointing in the direction</w:t>
      </w:r>
      <w:r>
        <w:t xml:space="preserve"> </w:t>
      </w:r>
      <w:r>
        <w:t xml:space="preserve">of the patch’s center, was computed by dividing the patch’s mean feature</w:t>
      </w:r>
      <w:r>
        <w:t xml:space="preserve"> </w:t>
      </w:r>
      <w:r>
        <w:t xml:space="preserve">vector by its length </w:t>
      </w:r>
      <m:oMath>
        <m:sSub>
          <m:e>
            <m:groupChr>
              <m:groupChrPr>
                <m:chr m:val="^"/>
                <m:pos m:val="top"/>
                <m:vertJc m:val="bot"/>
              </m:groupChrPr>
              <m:e>
                <m:r>
                  <m:t>u</m:t>
                </m:r>
              </m:e>
            </m:groupChr>
          </m:e>
          <m:sub>
            <m:r>
              <m:t>p</m:t>
            </m:r>
          </m:sub>
        </m:sSub>
        <m:r>
          <m:t>=</m:t>
        </m:r>
        <m:sSub>
          <m:e>
            <m:r>
              <m:rPr>
                <m:sty m:val="b"/>
              </m:rPr>
              <m:t>m</m:t>
            </m:r>
          </m:e>
          <m:sub>
            <m:r>
              <m:t>p</m:t>
            </m:r>
          </m:sub>
        </m:sSub>
        <m:r>
          <m:t>/</m:t>
        </m:r>
        <m:r>
          <m:t>∥</m:t>
        </m:r>
        <m:sSub>
          <m:e>
            <m:r>
              <m:rPr>
                <m:sty m:val="b"/>
              </m:rPr>
              <m:t>m</m:t>
            </m:r>
          </m:e>
          <m:sub>
            <m:r>
              <m:t>p</m:t>
            </m:r>
          </m:sub>
        </m:sSub>
        <m:r>
          <m:t>∥</m:t>
        </m:r>
      </m:oMath>
      <w:r>
        <w:t xml:space="preserve">.  For each normal or</w:t>
      </w:r>
      <w:r>
        <w:t xml:space="preserve"> </w:t>
      </w:r>
      <w:r>
        <w:t xml:space="preserve">pathological ROI, we defined the center and direction as the average</w:t>
      </w:r>
      <w:r>
        <w:t xml:space="preserve"> </w:t>
      </w:r>
      <w:r>
        <w:t xml:space="preserve">across patches within that ROI.  To create an average FCD vector, we</w:t>
      </w:r>
      <w:r>
        <w:t xml:space="preserve"> </w:t>
      </w:r>
      <w:r>
        <w:t xml:space="preserve">computed the average across  patches within each MRI+ patient’s FCD mask</w:t>
      </w:r>
      <w:r>
        <w:t xml:space="preserve"> </w:t>
      </w:r>
      <w:r>
        <w:t xml:space="preserve">(n=11), then averaged across patients to give each lesion equal</w:t>
      </w:r>
      <w:r>
        <w:t xml:space="preserve"> </w:t>
      </w:r>
      <w:r>
        <w:t xml:space="preserve">weighting regardless of size. </w:t>
      </w:r>
    </w:p>
    <w:p>
      <w:pPr>
        <w:pStyle w:val="BodyText"/>
      </w:pPr>
      <w:r>
        <w:t xml:space="preserve">In this feature space, outliers can be defined by the Mahalanobis</w:t>
      </w:r>
      <w:r>
        <w:t xml:space="preserve"> </w:t>
      </w:r>
      <w:r>
        <w:t xml:space="preserve">distance, MD, or the distance form the origin to the patch’s center, as</w:t>
      </w:r>
      <w:r>
        <w:t xml:space="preserve"> </w:t>
      </w:r>
      <w:r>
        <w:t xml:space="preserve">the probability of finding a patch with a given average feature</w:t>
      </w:r>
      <w:r>
        <w:t xml:space="preserve"> </w:t>
      </w:r>
      <w:r>
        <w:t xml:space="preserve">vector </w:t>
      </w:r>
      <m:oMath>
        <m:sSub>
          <m:e>
            <m:r>
              <m:rPr>
                <m:sty m:val="b"/>
              </m:rPr>
              <m:t>m</m:t>
            </m:r>
          </m:e>
          <m:sub>
            <m:r>
              <m:t>p</m:t>
            </m:r>
          </m:sub>
        </m:sSub>
      </m:oMath>
      <w:r>
        <w:t xml:space="preserve"> </w:t>
      </w:r>
      <w:r>
        <w:t xml:space="preserve">depends only on the magnitude of the feature</w:t>
      </w:r>
      <w:r>
        <w:t xml:space="preserve"> </w:t>
      </w:r>
      <w:r>
        <w:t xml:space="preserve">vector </w:t>
      </w:r>
      <m:oMath>
        <m:r>
          <m:t>∥</m:t>
        </m:r>
        <m:sSub>
          <m:e>
            <m:r>
              <m:rPr>
                <m:sty m:val="b"/>
              </m:rPr>
              <m:t>m</m:t>
            </m:r>
          </m:e>
          <m:sub>
            <m:r>
              <m:t>p</m:t>
            </m:r>
          </m:sub>
        </m:sSub>
        <m:r>
          <m:t>∥</m:t>
        </m:r>
      </m:oMath>
      <w:r>
        <w:t xml:space="preserve"> </w:t>
      </w:r>
      <w:r>
        <w:t xml:space="preserve">and not on its direction, with</w:t>
      </w:r>
      <w:r>
        <w:t xml:space="preserve"> </w:t>
      </w:r>
      <w:r>
        <w:t xml:space="preserve">MD</w:t>
      </w:r>
      <w:r>
        <w:rPr>
          <w:vertAlign w:val="superscript"/>
        </w:rPr>
        <w:t xml:space="preserve">2  </w:t>
      </w:r>
      <w:r>
        <w:t xml:space="preserve">following a cumulative chi-squared distribution. </w:t>
      </w:r>
      <w:r>
        <w:t xml:space="preserve"> </w:t>
      </w:r>
      <w:r>
        <w:t xml:space="preserve">We measured the Mahalanobis distance (MD) of 1000 randomly sampled</w:t>
      </w:r>
      <w:r>
        <w:t xml:space="preserve"> </w:t>
      </w:r>
      <w:r>
        <w:t xml:space="preserve">patches from normal cortex across HVs and 1000 patches selected from FCD</w:t>
      </w:r>
      <w:r>
        <w:t xml:space="preserve"> </w:t>
      </w:r>
      <w:r>
        <w:t xml:space="preserve">lesion masks.  As there was significant variability in the MD of normal</w:t>
      </w:r>
      <w:r>
        <w:t xml:space="preserve"> </w:t>
      </w:r>
      <w:r>
        <w:t xml:space="preserve">cortical vertices, we then wished to explore whether some cortical</w:t>
      </w:r>
      <w:r>
        <w:t xml:space="preserve"> </w:t>
      </w:r>
      <w:r>
        <w:t xml:space="preserve">regions reproducibly appeared as relative outliers across healthy</w:t>
      </w:r>
      <w:r>
        <w:t xml:space="preserve"> </w:t>
      </w:r>
      <w:r>
        <w:t xml:space="preserve">volunteers.  To explore this, we arbitrarily defined all patches with an</w:t>
      </w:r>
      <w:r>
        <w:t xml:space="preserve"> </w:t>
      </w:r>
      <w:r>
        <w:t xml:space="preserve">average distance from the center (MD) of &gt; 2.7 as outliers,</w:t>
      </w:r>
      <w:r>
        <w:t xml:space="preserve"> </w:t>
      </w:r>
      <w:r>
        <w:t xml:space="preserve">corresponding to the top ~5% of patches (p = 0.043). </w:t>
      </w:r>
      <w:r>
        <w:t xml:space="preserve"> </w:t>
      </w:r>
      <w:r>
        <w:t xml:space="preserve">We retained all resulting clusters with &gt; 30 vertices in</w:t>
      </w:r>
      <w:r>
        <w:t xml:space="preserve"> </w:t>
      </w:r>
      <w:r>
        <w:t xml:space="preserve">order to eliminate isolated atypical patches, as we were seeking to</w:t>
      </w:r>
      <w:r>
        <w:t xml:space="preserve"> </w:t>
      </w:r>
      <w:r>
        <w:t xml:space="preserve">identify atypical regions at larger spatial scales as described by</w:t>
      </w:r>
      <w:r>
        <w:t xml:space="preserve"> </w:t>
      </w:r>
      <w:r>
        <w:t xml:space="preserve">cortical cyto- and myeloarchitectonic maps.  Of the resulting clusters,</w:t>
      </w:r>
      <w:r>
        <w:t xml:space="preserve"> </w:t>
      </w:r>
      <w:r>
        <w:t xml:space="preserve">we selected two of the three most outlying regions of interest (ROI) as</w:t>
      </w:r>
      <w:r>
        <w:t xml:space="preserve"> </w:t>
      </w:r>
      <w:r>
        <w:t xml:space="preserve">exemplars, and compared their average MD to those of randomly selected</w:t>
      </w:r>
      <w:r>
        <w:t xml:space="preserve"> </w:t>
      </w:r>
      <w:r>
        <w:t xml:space="preserve">normal and FCD patches. </w:t>
      </w:r>
    </w:p>
    <w:p>
      <w:pPr>
        <w:pStyle w:val="Heading2"/>
      </w:pPr>
      <w:bookmarkStart w:id="39" w:name="similarity-estimation"/>
      <w:bookmarkEnd w:id="39"/>
      <w:r>
        <w:t xml:space="preserve">Similarity Estimation</w:t>
      </w:r>
    </w:p>
    <w:p>
      <w:pPr>
        <w:pStyle w:val="FirstParagraph"/>
      </w:pPr>
      <w:r>
        <w:t xml:space="preserve">Having observed significant overlap in outlierness between FCDs and some</w:t>
      </w:r>
      <w:r>
        <w:t xml:space="preserve"> </w:t>
      </w:r>
      <w:r>
        <w:t xml:space="preserve">normal cortical regions, we explored the similarity in underlying</w:t>
      </w:r>
      <w:r>
        <w:t xml:space="preserve"> </w:t>
      </w:r>
      <w:r>
        <w:t xml:space="preserve">features between FCDs and normal cortex. In one approach, we created</w:t>
      </w:r>
      <w:r>
        <w:t xml:space="preserve"> </w:t>
      </w:r>
      <w:r>
        <w:t xml:space="preserve">similarity maps to our average FCD and exemplar normal outlier ROIs by</w:t>
      </w:r>
      <w:r>
        <w:t xml:space="preserve"> </w:t>
      </w:r>
      <w:r>
        <w:t xml:space="preserve">computing the scalar projection of the mean feature vector for each</w:t>
      </w:r>
      <w:r>
        <w:t xml:space="preserve"> </w:t>
      </w:r>
      <w:r>
        <w:t xml:space="preserve">cortical patch onto the ROI average unit vector and projecting it onto</w:t>
      </w:r>
      <w:r>
        <w:t xml:space="preserve"> </w:t>
      </w:r>
      <w:r>
        <w:t xml:space="preserve">the cortical surface (see Figure 2).  This metric highlights outlying</w:t>
      </w:r>
      <w:r>
        <w:t xml:space="preserve"> </w:t>
      </w:r>
      <w:r>
        <w:t xml:space="preserve">patches with similar underlying features to the exemplar ROI.  </w:t>
      </w:r>
    </w:p>
    <w:p>
      <w:pPr>
        <w:pStyle w:val="BodyText"/>
      </w:pPr>
      <w:r>
        <w:t xml:space="preserve">To assess similarity between cortical patches  </w:t>
      </w:r>
      <m:oMath>
        <m:sSub>
          <m:e>
            <m:r>
              <m:t>p</m:t>
            </m:r>
          </m:e>
          <m:sub>
            <m:r>
              <m:t>i</m:t>
            </m:r>
          </m:sub>
        </m:sSub>
      </m:oMath>
      <w:r>
        <w:t xml:space="preserve"> </w:t>
      </w:r>
      <w:r>
        <w:t xml:space="preserve">and </w:t>
      </w:r>
      <m:oMath>
        <m:sSub>
          <m:e>
            <m:r>
              <m:t>p</m:t>
            </m:r>
          </m:e>
          <m:sub>
            <m:r>
              <m:t>j</m:t>
            </m:r>
          </m:sub>
        </m:sSub>
      </m:oMath>
      <w:r>
        <w:t xml:space="preserve"> </w:t>
      </w:r>
      <w:r>
        <w:t xml:space="preserve">without regard to degree of outlierness, we</w:t>
      </w:r>
      <w:r>
        <w:t xml:space="preserve"> </w:t>
      </w:r>
      <w:r>
        <w:t xml:space="preserve">assessed the cosine similarity between their</w:t>
      </w:r>
      <w:r>
        <w:t xml:space="preserve"> </w:t>
      </w:r>
      <w:r>
        <w:t xml:space="preserve">directions </w:t>
      </w:r>
      <m:oMath>
        <m:sSub>
          <m:e>
            <m:r>
              <m:t>s</m:t>
            </m:r>
          </m:e>
          <m:sub>
            <m:r>
              <m:t>i</m:t>
            </m:r>
            <m:r>
              <m:t>j</m:t>
            </m:r>
          </m:sub>
        </m:sSub>
        <m:r>
          <m:t>=</m:t>
        </m:r>
        <m:sSub>
          <m:e>
            <m:groupChr>
              <m:groupChrPr>
                <m:chr m:val="^"/>
                <m:pos m:val="top"/>
                <m:vertJc m:val="bot"/>
              </m:groupChrPr>
              <m:e>
                <m:r>
                  <m:t>u</m:t>
                </m:r>
              </m:e>
            </m:groupChr>
          </m:e>
          <m:sub>
            <m:r>
              <m:t>i</m:t>
            </m:r>
          </m:sub>
        </m:sSub>
        <m:r>
          <m:t>⋅</m:t>
        </m:r>
        <m:sSub>
          <m:e>
            <m:groupChr>
              <m:groupChrPr>
                <m:chr m:val="^"/>
                <m:pos m:val="top"/>
                <m:vertJc m:val="bot"/>
              </m:groupChrPr>
              <m:e>
                <m:r>
                  <m:t>u</m:t>
                </m:r>
              </m:e>
            </m:groupChr>
          </m:e>
          <m:sub>
            <m:r>
              <m:t>j</m:t>
            </m:r>
          </m:sub>
        </m:sSub>
      </m:oMath>
      <w:r>
        <w:t xml:space="preserve">.  Using this metric, patches with similar</w:t>
      </w:r>
      <w:r>
        <w:t xml:space="preserve"> </w:t>
      </w:r>
      <w:r>
        <w:t xml:space="preserve">relative combinations of underlying features will appear more similar</w:t>
      </w:r>
      <w:r>
        <w:t xml:space="preserve"> </w:t>
      </w:r>
      <w:r>
        <w:t xml:space="preserve">regardless of their distance from the center of the distribution. Based</w:t>
      </w:r>
      <w:r>
        <w:t xml:space="preserve"> </w:t>
      </w:r>
      <w:r>
        <w:t xml:space="preserve">on known patterns of cortical variability, we hypothesized that local</w:t>
      </w:r>
      <w:r>
        <w:t xml:space="preserve"> </w:t>
      </w:r>
      <w:r>
        <w:t xml:space="preserve">image features would vary across the cortical sheet in a somewhat</w:t>
      </w:r>
      <w:r>
        <w:t xml:space="preserve"> </w:t>
      </w:r>
      <w:r>
        <w:t xml:space="preserve">reproducible fashion across HVs and therefore patches in the same</w:t>
      </w:r>
      <w:r>
        <w:t xml:space="preserve"> </w:t>
      </w:r>
      <w:r>
        <w:t xml:space="preserve">locations would appear more similar to each other than patches in</w:t>
      </w:r>
      <w:r>
        <w:t xml:space="preserve"> </w:t>
      </w:r>
      <w:r>
        <w:t xml:space="preserve">different locations.  To assess this, we defined patches as being in</w:t>
      </w:r>
      <w:r>
        <w:t xml:space="preserve"> </w:t>
      </w:r>
      <w:r>
        <w:t xml:space="preserve">homotopic (same) or heterotopic (different) locations as defined by the</w:t>
      </w:r>
      <w:r>
        <w:t xml:space="preserve"> </w:t>
      </w:r>
      <w:r>
        <w:t xml:space="preserve">standard surface mesh  and computed the cosine similarity between 1000</w:t>
      </w:r>
      <w:r>
        <w:t xml:space="preserve"> </w:t>
      </w:r>
      <w:r>
        <w:t xml:space="preserve">randomly sampled heterotopic patches and 1000 homotopic patches across</w:t>
      </w:r>
      <w:r>
        <w:t xml:space="preserve"> </w:t>
      </w:r>
      <w:r>
        <w:t xml:space="preserve">HVs.  To determine how similar FCD lesions appeared to normal cortex, we</w:t>
      </w:r>
      <w:r>
        <w:t xml:space="preserve"> </w:t>
      </w:r>
      <w:r>
        <w:t xml:space="preserve">then compared the cosine similarity of 1000 non-overlapping FCD patches</w:t>
      </w:r>
      <w:r>
        <w:t xml:space="preserve"> </w:t>
      </w:r>
      <w:r>
        <w:t xml:space="preserve">to each other, as well as to 1000 randomly selected heterotopic  and</w:t>
      </w:r>
      <w:r>
        <w:t xml:space="preserve"> </w:t>
      </w:r>
      <w:r>
        <w:t xml:space="preserve">then homotopic patches across HVs.</w:t>
      </w:r>
    </w:p>
    <w:p>
      <w:pPr>
        <w:pStyle w:val="Heading2"/>
      </w:pPr>
      <w:bookmarkStart w:id="40" w:name="local-normalization"/>
      <w:bookmarkEnd w:id="40"/>
      <w:r>
        <w:t xml:space="preserve">Local Normalization</w:t>
      </w:r>
    </w:p>
    <w:p>
      <w:pPr>
        <w:pStyle w:val="FirstParagraph"/>
      </w:pPr>
      <w:r>
        <w:t xml:space="preserve">Because FCDs were not more globally anomalous and also appeared to have</w:t>
      </w:r>
      <w:r>
        <w:t xml:space="preserve"> </w:t>
      </w:r>
      <w:r>
        <w:t xml:space="preserve">similar features to some normal cortical regions, we hypothesized that</w:t>
      </w:r>
      <w:r>
        <w:t xml:space="preserve"> </w:t>
      </w:r>
      <w:r>
        <w:t xml:space="preserve">to be identifiable, FCDs must differ from the expected appearance at</w:t>
      </w:r>
      <w:r>
        <w:t xml:space="preserve"> </w:t>
      </w:r>
      <w:r>
        <w:t xml:space="preserve">their underlying location, or homotopic region, in HVs.  We implemented</w:t>
      </w:r>
      <w:r>
        <w:t xml:space="preserve"> </w:t>
      </w:r>
      <w:r>
        <w:t xml:space="preserve">a local normalization procedure by removing the local mean, calculated</w:t>
      </w:r>
      <w:r>
        <w:t xml:space="preserve"> </w:t>
      </w:r>
      <w:r>
        <w:t xml:space="preserve">across homotopic patches in HVs. We expected that after local</w:t>
      </w:r>
      <w:r>
        <w:t xml:space="preserve"> </w:t>
      </w:r>
      <w:r>
        <w:t xml:space="preserve">normalization, reproducible regional differences in normal cortex should</w:t>
      </w:r>
      <w:r>
        <w:t xml:space="preserve"> </w:t>
      </w:r>
      <w:r>
        <w:t xml:space="preserve">no longer be present. However, the effect on FCDs  was unknown.</w:t>
      </w:r>
      <w:r>
        <w:t xml:space="preserve"> </w:t>
      </w:r>
      <w:r>
        <w:t xml:space="preserve">Therefore, following normalization, we again compared the Mahalanobis</w:t>
      </w:r>
      <w:r>
        <w:t xml:space="preserve"> </w:t>
      </w:r>
      <w:r>
        <w:t xml:space="preserve">distances of normal cortex, the outlier ROIs, and FCDs as above, as well</w:t>
      </w:r>
      <w:r>
        <w:t xml:space="preserve"> </w:t>
      </w:r>
      <w:r>
        <w:t xml:space="preserve">as the cosine similarity between FCD patches and heterotopic and</w:t>
      </w:r>
      <w:r>
        <w:t xml:space="preserve"> </w:t>
      </w:r>
      <w:r>
        <w:t xml:space="preserve">homotopic normal cortical patches.</w:t>
      </w:r>
    </w:p>
    <w:p>
      <w:pPr>
        <w:pStyle w:val="Heading2"/>
      </w:pPr>
      <w:bookmarkStart w:id="41" w:name="automated-fcd-detection"/>
      <w:bookmarkEnd w:id="41"/>
      <w:r>
        <w:t xml:space="preserve">Automated FCD Detection</w:t>
      </w:r>
    </w:p>
    <w:p>
      <w:pPr>
        <w:pStyle w:val="FirstParagraph"/>
      </w:pPr>
      <w:r>
        <w:t xml:space="preserve">We created an automated FCD detection method based on locally normalized</w:t>
      </w:r>
      <w:r>
        <w:t xml:space="preserve"> </w:t>
      </w:r>
      <w:r>
        <w:t xml:space="preserve">FCD similarity maps.  We used a leave-one-out cross-validation strategy</w:t>
      </w:r>
      <w:r>
        <w:t xml:space="preserve"> </w:t>
      </w:r>
      <w:r>
        <w:t xml:space="preserve">to build a subject specific model for each FCD patient and HV. In each</w:t>
      </w:r>
      <w:r>
        <w:t xml:space="preserve"> </w:t>
      </w:r>
      <w:r>
        <w:t xml:space="preserve">subject, we computed the scalar projection of the mean feature vector</w:t>
      </w:r>
      <w:r>
        <w:t xml:space="preserve"> </w:t>
      </w:r>
      <w:r>
        <w:t xml:space="preserve">for each patch onto the FCD average unit vector (Figure 4b). We then</w:t>
      </w:r>
      <w:r>
        <w:t xml:space="preserve"> </w:t>
      </w:r>
      <w:r>
        <w:t xml:space="preserve">applied a threshold to identify the top 1% of vertices and retained</w:t>
      </w:r>
      <w:r>
        <w:t xml:space="preserve"> </w:t>
      </w:r>
      <w:r>
        <w:t xml:space="preserve">clusters with 5 or more adjacent remaining vertices, a minimal size</w:t>
      </w:r>
      <w:r>
        <w:t xml:space="preserve"> </w:t>
      </w:r>
      <w:r>
        <w:t xml:space="preserve">threshold meant to eliminate isolated outlying vertices. For each</w:t>
      </w:r>
      <w:r>
        <w:t xml:space="preserve"> </w:t>
      </w:r>
      <w:r>
        <w:t xml:space="preserve">surviving cluster, we computed the mean FCD similarity.  </w:t>
      </w:r>
    </w:p>
    <w:p>
      <w:pPr>
        <w:pStyle w:val="Heading2"/>
      </w:pPr>
      <w:bookmarkStart w:id="42" w:name="statistical-analysis"/>
      <w:bookmarkEnd w:id="42"/>
      <w:r>
        <w:t xml:space="preserve">Statistical Analysis</w:t>
      </w:r>
    </w:p>
    <w:p>
      <w:pPr>
        <w:pStyle w:val="FirstParagraph"/>
      </w:pPr>
      <w:r>
        <w:t xml:space="preserve">All statistical analyses were carried out in Python.  For the feature</w:t>
      </w:r>
      <w:r>
        <w:t xml:space="preserve"> </w:t>
      </w:r>
      <w:r>
        <w:t xml:space="preserve">prediction models, performance was evaluated for each model using the</w:t>
      </w:r>
      <w:r>
        <w:t xml:space="preserve"> </w:t>
      </w:r>
      <w:r>
        <w:t xml:space="preserve">coefficient of determination </w:t>
      </w:r>
      <m:oMath>
        <m:r>
          <m:t>r</m:t>
        </m:r>
        <m:sSup>
          <m:e>
            <m:r>
              <m:t/>
            </m:r>
          </m:e>
          <m:sup>
            <m:r>
              <m:t>2</m:t>
            </m:r>
          </m:sup>
        </m:sSup>
      </m:oMath>
      <w:r>
        <w:t xml:space="preserve">.  To estimate the extent</w:t>
      </w:r>
      <w:r>
        <w:t xml:space="preserve"> </w:t>
      </w:r>
      <w:r>
        <w:t xml:space="preserve">of the differences between the measured and predicted models, we report</w:t>
      </w:r>
      <w:r>
        <w:t xml:space="preserve"> </w:t>
      </w:r>
      <w:r>
        <w:t xml:space="preserve">effect size as in (Cohen, 1988): </w:t>
      </w:r>
      <m:oMath>
        <m:r>
          <m:t>r</m:t>
        </m:r>
        <m:r>
          <m:t>=</m:t>
        </m:r>
        <m:r>
          <m:t>0.1</m:t>
        </m:r>
      </m:oMath>
      <w:r>
        <w:t xml:space="preserve"> </w:t>
      </w:r>
      <w:r>
        <w:t xml:space="preserve">as </w:t>
      </w:r>
      <w:r>
        <w:rPr>
          <w:i/>
        </w:rPr>
        <w:t xml:space="preserve">small;</w:t>
      </w:r>
      <w:r>
        <w:t xml:space="preserve"> </w:t>
      </w:r>
      <m:oMath>
        <m:r>
          <m:t>r</m:t>
        </m:r>
        <m:r>
          <m:t>=</m:t>
        </m:r>
        <m:r>
          <m:t>0.3</m:t>
        </m:r>
      </m:oMath>
      <w:r>
        <w:t xml:space="preserve"> </w:t>
      </w:r>
      <w:r>
        <w:t xml:space="preserve">as </w:t>
      </w:r>
      <w:r>
        <w:rPr>
          <w:i/>
        </w:rPr>
        <w:t xml:space="preserve">medium;</w:t>
      </w:r>
      <w:r>
        <w:t xml:space="preserve"> </w:t>
      </w:r>
      <w:r>
        <w:t xml:space="preserve">and </w:t>
      </w:r>
      <m:oMath>
        <m:r>
          <m:t>r</m:t>
        </m:r>
        <m:r>
          <m:t>=</m:t>
        </m:r>
        <m:r>
          <m:t>0.5</m:t>
        </m:r>
      </m:oMath>
      <w:r>
        <w:t xml:space="preserve"> </w:t>
      </w:r>
      <w:r>
        <w:t xml:space="preserve">as </w:t>
      </w:r>
      <w:r>
        <w:rPr>
          <w:i/>
        </w:rPr>
        <w:t xml:space="preserve">large</w:t>
      </w:r>
      <w:r>
        <w:t xml:space="preserve">.  For distance-wise comparisons</w:t>
      </w:r>
      <w:r>
        <w:t xml:space="preserve"> </w:t>
      </w:r>
      <w:r>
        <w:t xml:space="preserve">between patches, we used Welch’s unequal variance t-test to assess</w:t>
      </w:r>
      <w:r>
        <w:t xml:space="preserve"> </w:t>
      </w:r>
      <w:r>
        <w:t xml:space="preserve">significance and to estimate the effect size of the differences,</w:t>
      </w:r>
      <w:r>
        <w:t xml:space="preserve"> </w:t>
      </w:r>
      <w:r>
        <w:t xml:space="preserve">reported as in (Cohen, 1988): </w:t>
      </w:r>
      <m:oMath>
        <m:r>
          <m:t>d</m:t>
        </m:r>
        <m:r>
          <m:t>=</m:t>
        </m:r>
        <m:r>
          <m:t>0.2</m:t>
        </m:r>
      </m:oMath>
      <w:r>
        <w:t xml:space="preserve"> </w:t>
      </w:r>
      <w:r>
        <w:t xml:space="preserve">as </w:t>
      </w:r>
      <w:r>
        <w:rPr>
          <w:i/>
        </w:rPr>
        <w:t xml:space="preserve">small;</w:t>
      </w:r>
      <w:r>
        <w:t xml:space="preserve"> </w:t>
      </w:r>
      <m:oMath>
        <m:r>
          <m:t>d</m:t>
        </m:r>
        <m:r>
          <m:t>=</m:t>
        </m:r>
        <m:r>
          <m:t>0.5</m:t>
        </m:r>
      </m:oMath>
      <w:r>
        <w:t xml:space="preserve"> </w:t>
      </w:r>
      <w:r>
        <w:t xml:space="preserve">as </w:t>
      </w:r>
      <w:r>
        <w:rPr>
          <w:i/>
        </w:rPr>
        <w:t xml:space="preserve">medium;</w:t>
      </w:r>
      <w:r>
        <w:t xml:space="preserve"> </w:t>
      </w:r>
      <w:r>
        <w:t xml:space="preserve">and </w:t>
      </w:r>
      <m:oMath>
        <m:r>
          <m:t>d</m:t>
        </m:r>
        <m:r>
          <m:t>=</m:t>
        </m:r>
        <m:r>
          <m:t>0.5</m:t>
        </m:r>
      </m:oMath>
      <w:r>
        <w:t xml:space="preserve"> </w:t>
      </w:r>
      <w:r>
        <w:t xml:space="preserve">as </w:t>
      </w:r>
      <w:r>
        <w:rPr>
          <w:i/>
        </w:rPr>
        <w:t xml:space="preserve">large</w:t>
      </w:r>
      <w:r>
        <w:t xml:space="preserve">. </w:t>
      </w:r>
    </w:p>
    <w:p>
      <w:pPr>
        <w:pStyle w:val="BodyText"/>
      </w:pPr>
      <w:r>
        <w:t xml:space="preserve">Sensitivity of the automated FCD detection procedure was assessed</w:t>
      </w:r>
      <w:r>
        <w:t xml:space="preserve"> </w:t>
      </w:r>
      <w:r>
        <w:t xml:space="preserve">initially for MRI+ patients and then for all patients.  We calculated a</w:t>
      </w:r>
      <w:r>
        <w:t xml:space="preserve"> </w:t>
      </w:r>
      <w:r>
        <w:t xml:space="preserve">receiver operating characteristics (ROC) curve and area under the curve</w:t>
      </w:r>
      <w:r>
        <w:t xml:space="preserve"> </w:t>
      </w:r>
      <w:r>
        <w:t xml:space="preserve">(AUC) based on the patients with manual lesion labels that were included</w:t>
      </w:r>
      <w:r>
        <w:t xml:space="preserve"> </w:t>
      </w:r>
      <w:r>
        <w:t xml:space="preserve">in the leave-one-out analysis.  True positives were defined as</w:t>
      </w:r>
      <w:r>
        <w:t xml:space="preserve"> </w:t>
      </w:r>
      <w:r>
        <w:t xml:space="preserve">co-localization of a detected cluster with the manual lesion mask for</w:t>
      </w:r>
      <w:r>
        <w:t xml:space="preserve"> </w:t>
      </w:r>
      <w:r>
        <w:t xml:space="preserve">MRI+ patients and as overlap of a detected cluster with the resection</w:t>
      </w:r>
      <w:r>
        <w:t xml:space="preserve"> </w:t>
      </w:r>
      <w:r>
        <w:t xml:space="preserve">mask for MRI- patients.  False positives were defined as HVs with</w:t>
      </w:r>
      <w:r>
        <w:t xml:space="preserve"> </w:t>
      </w:r>
      <w:r>
        <w:t xml:space="preserve">clusters detected above a given threshold.  The optimal threshold for</w:t>
      </w:r>
      <w:r>
        <w:t xml:space="preserve"> </w:t>
      </w:r>
      <w:r>
        <w:t xml:space="preserve">the final  detection was determined using the Youden Index (calculated</w:t>
      </w:r>
      <w:r>
        <w:t xml:space="preserve"> </w:t>
      </w:r>
      <w:r>
        <w:t xml:space="preserve">as sensitivity + specificity - 1 for each threshold) in the patients</w:t>
      </w:r>
      <w:r>
        <w:t xml:space="preserve"> </w:t>
      </w:r>
      <w:r>
        <w:t xml:space="preserve">with lesion masks.  Lesion detection and number of extralesional</w:t>
      </w:r>
      <w:r>
        <w:t xml:space="preserve"> </w:t>
      </w:r>
      <w:r>
        <w:t xml:space="preserve">clusters (outside of the lesion and resection masks or in HVs) were</w:t>
      </w:r>
      <w:r>
        <w:t xml:space="preserve"> </w:t>
      </w:r>
      <w:r>
        <w:t xml:space="preserve">assessed for all patients and HVs individually.  </w:t>
      </w:r>
    </w:p>
    <w:p>
      <w:pPr>
        <w:pStyle w:val="Heading1"/>
      </w:pPr>
      <w:bookmarkStart w:id="43" w:name="results"/>
      <w:bookmarkEnd w:id="43"/>
      <w:r>
        <w:t xml:space="preserve">Results</w:t>
      </w:r>
    </w:p>
    <w:p>
      <w:pPr>
        <w:pStyle w:val="Heading2"/>
      </w:pPr>
      <w:bookmarkStart w:id="44" w:name="study-participants-1"/>
      <w:bookmarkEnd w:id="44"/>
      <w:r>
        <w:t xml:space="preserve">Study Participants</w:t>
      </w:r>
    </w:p>
    <w:p>
      <w:pPr>
        <w:pStyle w:val="FirstParagraph"/>
      </w:pPr>
      <w:r>
        <w:t xml:space="preserve">This study includes 15 patients with drug resistant focal epilepsy and</w:t>
      </w:r>
      <w:r>
        <w:t xml:space="preserve"> </w:t>
      </w:r>
      <w:r>
        <w:t xml:space="preserve">FCD (median age 27, range 15-53, 11 females) and 30 healthy controls</w:t>
      </w:r>
      <w:r>
        <w:t xml:space="preserve"> </w:t>
      </w:r>
      <w:r>
        <w:t xml:space="preserve">(median age 23</w:t>
      </w:r>
      <w:r>
        <w:t xml:space="preserve">,</w:t>
      </w:r>
      <w:r>
        <w:t xml:space="preserve"> </w:t>
      </w:r>
      <w:r>
        <w:t xml:space="preserve">range 8-63, 12 females).  FCDs were identified in the</w:t>
      </w:r>
      <w:r>
        <w:t xml:space="preserve"> </w:t>
      </w:r>
      <w:r>
        <w:t xml:space="preserve">radiological reports in 6/15 patients; an additional five patients had</w:t>
      </w:r>
      <w:r>
        <w:t xml:space="preserve"> </w:t>
      </w:r>
      <w:r>
        <w:t xml:space="preserve">lesions identifiable on post-hoc analysis (MRI+ n=11) (details in Table</w:t>
      </w:r>
      <w:r>
        <w:t xml:space="preserve"> </w:t>
      </w:r>
      <w:r>
        <w:t xml:space="preserve">1).</w:t>
      </w:r>
    </w:p>
    <w:p>
      <w:pPr>
        <w:pStyle w:val="BodyText"/>
      </w:pPr>
      <w:r>
        <w:br w:type="textWrapping"/>
      </w:r>
    </w:p>
    <w:p>
      <w:pPr>
        <w:pStyle w:val="TableCaption"/>
      </w:pPr>
      <w:r>
        <w:t xml:space="preserve">Patient demographics.  Age and epilepsy duration are reported in years</w:t>
      </w:r>
      <w:r>
        <w:t xml:space="preserve"> </w:t>
      </w:r>
      <w:r>
        <w:t xml:space="preserve">at the time of the scan.  Lesion resections are reported as yes (Y) if</w:t>
      </w:r>
      <w:r>
        <w:t xml:space="preserve"> </w:t>
      </w:r>
      <w:r>
        <w:t xml:space="preserve">they were thought to be complete lesionectomies at the time of surgery;</w:t>
      </w:r>
      <w:r>
        <w:t xml:space="preserve"> </w:t>
      </w:r>
      <w:r>
        <w:t xml:space="preserve">resections were partial (part) if they were limited by overlap with</w:t>
      </w:r>
      <w:r>
        <w:t xml:space="preserve"> </w:t>
      </w:r>
      <w:r>
        <w:t xml:space="preserve">functional cortex.  Seizure outcome is reported as Engel Class at 12</w:t>
      </w:r>
      <w:r>
        <w:t xml:space="preserve"> </w:t>
      </w:r>
      <w:r>
        <w:t xml:space="preserve">months.  Transmantle signs were listed if no pathological evaluation was</w:t>
      </w:r>
      <w:r>
        <w:t xml:space="preserve"> </w:t>
      </w:r>
      <w:r>
        <w:t xml:space="preserve">available, as these are thought to be present primarily in FCD type IIb</w:t>
      </w:r>
      <w:r>
        <w:t xml:space="preserve"> </w:t>
      </w:r>
      <w:r>
        <w:t xml:space="preserve">lesions.  Lesion lobe abbreviations: R=right, L=left, F=frontal,</w:t>
      </w:r>
      <w:r>
        <w:t xml:space="preserve"> </w:t>
      </w:r>
      <w:r>
        <w:t xml:space="preserve">C=central, P=parietal, T=temporal. *patients who did not undergo</w:t>
      </w:r>
      <w:r>
        <w:t xml:space="preserve"> </w:t>
      </w:r>
      <w:r>
        <w:t xml:space="preserve">resection (Pt 8) or sufficient pathologic examination of the tissue of</w:t>
      </w:r>
      <w:r>
        <w:t xml:space="preserve"> </w:t>
      </w:r>
      <w:r>
        <w:t xml:space="preserve">interest (Pt 9) but were found to have electrographic correlate with the</w:t>
      </w:r>
      <w:r>
        <w:t xml:space="preserve"> </w:t>
      </w:r>
      <w:r>
        <w:t xml:space="preserve">relevant imaging finding on invasive EEG recordings. </w:t>
      </w:r>
      <w:r>
        <w:t xml:space="preserve"> </w:t>
      </w:r>
    </w:p>
    <w:tbl>
      <w:tblPr>
        <w:tblStyle w:val="TableNormal"/>
        <w:tblW w:type="pct" w:w="0.0"/>
        <w:tblLook/>
        <w:tblCaption w:val="Patient demographics.  Age and epilepsy duration are reported in years at the time of the scan.  Lesion resections are reported as yes (Y) if they were thought to be complete lesionectomies at the time of surgery; resections were partial (part) if they were limited by overlap with functional cortex.  Seizure outcome is reported as Engel Class at 12 months.  Transmantle signs were listed if no pathological evaluation was available, as these are thought to be present primarily in FCD type IIb lesions.  Lesion lobe abbreviations: R=right, L=left, F=frontal, C=central, P=parietal, T=temporal. *patients who did not undergo resection (Pt 8) or sufficient pathologic examination of the tissue of interest (Pt 9) but were found to have electrographic correlate with the relevant imaging finding on invasive EEG recordings.  "/>
      </w:tblPr>
      <w:tblGrid/>
      <w:tr>
        <w:tc>
          <w:p>
            <w:pPr>
              <w:pStyle w:val="Compact"/>
              <w:jc w:val="center"/>
            </w:pPr>
            <w:r>
              <w:t xml:space="preserve">Patient #</w:t>
            </w:r>
          </w:p>
        </w:tc>
        <w:tc>
          <w:p>
            <w:pPr>
              <w:pStyle w:val="Compact"/>
              <w:jc w:val="center"/>
            </w:pPr>
            <w:r>
              <w:t xml:space="preserve">Sex</w:t>
            </w:r>
          </w:p>
        </w:tc>
        <w:tc>
          <w:p>
            <w:pPr>
              <w:pStyle w:val="Compact"/>
              <w:jc w:val="center"/>
            </w:pPr>
            <w:r>
              <w:t xml:space="preserve">Age</w:t>
            </w:r>
          </w:p>
        </w:tc>
        <w:tc>
          <w:p>
            <w:pPr>
              <w:pStyle w:val="Compact"/>
              <w:jc w:val="center"/>
            </w:pPr>
            <w:r>
              <w:t xml:space="preserve">Seizure onset</w:t>
            </w:r>
          </w:p>
        </w:tc>
        <w:tc>
          <w:p>
            <w:pPr>
              <w:pStyle w:val="Compact"/>
              <w:jc w:val="center"/>
            </w:pPr>
            <w:r>
              <w:t xml:space="preserve">Epilepsy duration</w:t>
            </w:r>
          </w:p>
        </w:tc>
        <w:tc>
          <w:p>
            <w:pPr>
              <w:pStyle w:val="Compact"/>
              <w:jc w:val="center"/>
            </w:pPr>
            <w:r>
              <w:t xml:space="preserve">Lesion lobe</w:t>
            </w:r>
          </w:p>
        </w:tc>
        <w:tc>
          <w:p>
            <w:pPr>
              <w:pStyle w:val="Compact"/>
              <w:jc w:val="center"/>
            </w:pPr>
            <w:r>
              <w:t xml:space="preserve">Lesion Resection</w:t>
            </w:r>
          </w:p>
        </w:tc>
        <w:tc>
          <w:p>
            <w:pPr>
              <w:pStyle w:val="Compact"/>
              <w:jc w:val="center"/>
            </w:pPr>
            <w:r>
              <w:t xml:space="preserve">Seizure Outcome</w:t>
            </w:r>
          </w:p>
        </w:tc>
        <w:tc>
          <w:p>
            <w:pPr>
              <w:pStyle w:val="Compact"/>
              <w:jc w:val="center"/>
            </w:pPr>
            <w:r>
              <w:t xml:space="preserve">Pathological Diagnosis</w:t>
            </w:r>
          </w:p>
        </w:tc>
        <w:tc>
          <w:p>
            <w:pPr>
              <w:pStyle w:val="Compact"/>
              <w:jc w:val="center"/>
            </w:pPr>
            <w:r>
              <w:t xml:space="preserve">MRI</w:t>
            </w:r>
          </w:p>
        </w:tc>
      </w:tr>
      <w:tr>
        <w:tc>
          <w:p>
            <w:pPr>
              <w:pStyle w:val="Compact"/>
              <w:jc w:val="center"/>
            </w:pPr>
            <w:r>
              <w:t xml:space="preserve">1</w:t>
            </w:r>
          </w:p>
        </w:tc>
        <w:tc>
          <w:p>
            <w:pPr>
              <w:pStyle w:val="Compact"/>
              <w:jc w:val="center"/>
            </w:pPr>
            <w:r>
              <w:t xml:space="preserve">F</w:t>
            </w:r>
          </w:p>
        </w:tc>
        <w:tc>
          <w:p>
            <w:pPr>
              <w:pStyle w:val="Compact"/>
              <w:jc w:val="center"/>
            </w:pPr>
            <w:r>
              <w:t xml:space="preserve">33</w:t>
            </w:r>
          </w:p>
        </w:tc>
        <w:tc>
          <w:p>
            <w:pPr>
              <w:pStyle w:val="Compact"/>
              <w:jc w:val="center"/>
            </w:pPr>
            <w:r>
              <w:t xml:space="preserve">1</w:t>
            </w:r>
          </w:p>
        </w:tc>
        <w:tc>
          <w:p>
            <w:pPr>
              <w:pStyle w:val="Compact"/>
              <w:jc w:val="center"/>
            </w:pPr>
            <w:r>
              <w:t xml:space="preserve">32</w:t>
            </w:r>
          </w:p>
        </w:tc>
        <w:tc>
          <w:p>
            <w:pPr>
              <w:pStyle w:val="Compact"/>
              <w:jc w:val="center"/>
            </w:pPr>
            <w:r>
              <w:t xml:space="preserve">RF</w:t>
            </w:r>
          </w:p>
        </w:tc>
        <w:tc>
          <w:p>
            <w:pPr>
              <w:pStyle w:val="Compact"/>
              <w:jc w:val="center"/>
            </w:pPr>
            <w:r>
              <w:t xml:space="preserve">Y</w:t>
            </w:r>
          </w:p>
        </w:tc>
        <w:tc>
          <w:p>
            <w:pPr>
              <w:pStyle w:val="Compact"/>
              <w:jc w:val="center"/>
            </w:pPr>
            <w:r>
              <w:t xml:space="preserve">1a</w:t>
            </w:r>
          </w:p>
        </w:tc>
        <w:tc>
          <w:p>
            <w:pPr>
              <w:pStyle w:val="Compact"/>
              <w:jc w:val="center"/>
            </w:pPr>
            <w:r>
              <w:t xml:space="preserve">FCD IIb</w:t>
            </w:r>
          </w:p>
        </w:tc>
        <w:tc>
          <w:p>
            <w:pPr>
              <w:pStyle w:val="Compact"/>
              <w:jc w:val="center"/>
            </w:pPr>
            <w:r>
              <w:t xml:space="preserve">+</w:t>
            </w:r>
          </w:p>
        </w:tc>
      </w:tr>
      <w:tr>
        <w:tc>
          <w:p>
            <w:pPr>
              <w:pStyle w:val="Compact"/>
              <w:jc w:val="center"/>
            </w:pPr>
            <w:r>
              <w:t xml:space="preserve">2</w:t>
            </w:r>
          </w:p>
        </w:tc>
        <w:tc>
          <w:p>
            <w:pPr>
              <w:pStyle w:val="Compact"/>
              <w:jc w:val="center"/>
            </w:pPr>
            <w:r>
              <w:t xml:space="preserve">F</w:t>
            </w:r>
          </w:p>
        </w:tc>
        <w:tc>
          <w:p>
            <w:pPr>
              <w:pStyle w:val="Compact"/>
              <w:jc w:val="center"/>
            </w:pPr>
            <w:r>
              <w:t xml:space="preserve">40</w:t>
            </w:r>
          </w:p>
        </w:tc>
        <w:tc>
          <w:p>
            <w:pPr>
              <w:pStyle w:val="Compact"/>
              <w:jc w:val="center"/>
            </w:pPr>
            <w:r>
              <w:t xml:space="preserve">3</w:t>
            </w:r>
          </w:p>
        </w:tc>
        <w:tc>
          <w:p>
            <w:pPr>
              <w:pStyle w:val="Compact"/>
              <w:jc w:val="center"/>
            </w:pPr>
            <w:r>
              <w:t xml:space="preserve">37</w:t>
            </w:r>
          </w:p>
        </w:tc>
        <w:tc>
          <w:p>
            <w:pPr>
              <w:pStyle w:val="Compact"/>
              <w:jc w:val="center"/>
            </w:pPr>
            <w:r>
              <w:t xml:space="preserve">LC</w:t>
            </w:r>
          </w:p>
        </w:tc>
        <w:tc>
          <w:p>
            <w:pPr>
              <w:pStyle w:val="Compact"/>
              <w:jc w:val="center"/>
            </w:pPr>
            <w:r>
              <w:t xml:space="preserve">-</w:t>
            </w:r>
          </w:p>
        </w:tc>
        <w:tc>
          <w:p>
            <w:pPr>
              <w:pStyle w:val="Compact"/>
              <w:jc w:val="center"/>
            </w:pPr>
            <w:r>
              <w:t xml:space="preserve">-</w:t>
            </w:r>
          </w:p>
        </w:tc>
        <w:tc>
          <w:p>
            <w:pPr>
              <w:pStyle w:val="Compact"/>
              <w:jc w:val="center"/>
            </w:pPr>
            <w:r>
              <w:t xml:space="preserve">transmantle</w:t>
            </w:r>
          </w:p>
        </w:tc>
        <w:tc>
          <w:p>
            <w:pPr>
              <w:pStyle w:val="Compact"/>
              <w:jc w:val="center"/>
            </w:pPr>
            <w:r>
              <w:t xml:space="preserve">+</w:t>
            </w:r>
          </w:p>
        </w:tc>
      </w:tr>
      <w:tr>
        <w:tc>
          <w:p>
            <w:pPr>
              <w:pStyle w:val="Compact"/>
              <w:jc w:val="center"/>
            </w:pPr>
            <w:r>
              <w:t xml:space="preserve">3</w:t>
            </w:r>
          </w:p>
        </w:tc>
        <w:tc>
          <w:p>
            <w:pPr>
              <w:pStyle w:val="Compact"/>
              <w:jc w:val="center"/>
            </w:pPr>
            <w:r>
              <w:t xml:space="preserve">F</w:t>
            </w:r>
          </w:p>
        </w:tc>
        <w:tc>
          <w:p>
            <w:pPr>
              <w:pStyle w:val="Compact"/>
              <w:jc w:val="center"/>
            </w:pPr>
            <w:r>
              <w:t xml:space="preserve">53</w:t>
            </w:r>
          </w:p>
        </w:tc>
        <w:tc>
          <w:p>
            <w:pPr>
              <w:pStyle w:val="Compact"/>
              <w:jc w:val="center"/>
            </w:pPr>
            <w:r>
              <w:t xml:space="preserve">12</w:t>
            </w:r>
          </w:p>
        </w:tc>
        <w:tc>
          <w:p>
            <w:pPr>
              <w:pStyle w:val="Compact"/>
              <w:jc w:val="center"/>
            </w:pPr>
            <w:r>
              <w:t xml:space="preserve">41</w:t>
            </w:r>
          </w:p>
        </w:tc>
        <w:tc>
          <w:p>
            <w:pPr>
              <w:pStyle w:val="Compact"/>
              <w:jc w:val="center"/>
            </w:pPr>
            <w:r>
              <w:t xml:space="preserve">RC</w:t>
            </w:r>
          </w:p>
        </w:tc>
        <w:tc>
          <w:p>
            <w:pPr>
              <w:pStyle w:val="Compact"/>
              <w:jc w:val="center"/>
            </w:pPr>
            <w:r>
              <w:t xml:space="preserve">-</w:t>
            </w:r>
          </w:p>
        </w:tc>
        <w:tc>
          <w:p>
            <w:pPr>
              <w:pStyle w:val="Compact"/>
              <w:jc w:val="center"/>
            </w:pPr>
            <w:r>
              <w:t xml:space="preserve">-</w:t>
            </w:r>
          </w:p>
        </w:tc>
        <w:tc>
          <w:p>
            <w:pPr>
              <w:pStyle w:val="Compact"/>
              <w:jc w:val="center"/>
            </w:pPr>
            <w:r>
              <w:t xml:space="preserve">transmantle</w:t>
            </w:r>
          </w:p>
        </w:tc>
        <w:tc>
          <w:p>
            <w:pPr>
              <w:pStyle w:val="Compact"/>
              <w:jc w:val="center"/>
            </w:pPr>
            <w:r>
              <w:t xml:space="preserve">+</w:t>
            </w:r>
          </w:p>
        </w:tc>
      </w:tr>
      <w:tr>
        <w:tc>
          <w:p>
            <w:pPr>
              <w:pStyle w:val="Compact"/>
              <w:jc w:val="center"/>
            </w:pPr>
            <w:r>
              <w:t xml:space="preserve">4</w:t>
            </w:r>
          </w:p>
        </w:tc>
        <w:tc>
          <w:p>
            <w:pPr>
              <w:pStyle w:val="Compact"/>
              <w:jc w:val="center"/>
            </w:pPr>
            <w:r>
              <w:t xml:space="preserve">F</w:t>
            </w:r>
          </w:p>
        </w:tc>
        <w:tc>
          <w:p>
            <w:pPr>
              <w:pStyle w:val="Compact"/>
              <w:jc w:val="center"/>
            </w:pPr>
            <w:r>
              <w:t xml:space="preserve">21</w:t>
            </w:r>
          </w:p>
        </w:tc>
        <w:tc>
          <w:p>
            <w:pPr>
              <w:pStyle w:val="Compact"/>
              <w:jc w:val="center"/>
            </w:pPr>
            <w:r>
              <w:t xml:space="preserve">3</w:t>
            </w:r>
          </w:p>
        </w:tc>
        <w:tc>
          <w:p>
            <w:pPr>
              <w:pStyle w:val="Compact"/>
              <w:jc w:val="center"/>
            </w:pPr>
            <w:r>
              <w:t xml:space="preserve">18</w:t>
            </w:r>
          </w:p>
        </w:tc>
        <w:tc>
          <w:p>
            <w:pPr>
              <w:pStyle w:val="Compact"/>
              <w:jc w:val="center"/>
            </w:pPr>
            <w:r>
              <w:t xml:space="preserve">RP</w:t>
            </w:r>
          </w:p>
        </w:tc>
        <w:tc>
          <w:p>
            <w:pPr>
              <w:pStyle w:val="Compact"/>
              <w:jc w:val="center"/>
            </w:pPr>
            <w:r>
              <w:t xml:space="preserve">-</w:t>
            </w:r>
          </w:p>
        </w:tc>
        <w:tc>
          <w:p>
            <w:pPr>
              <w:pStyle w:val="Compact"/>
              <w:jc w:val="center"/>
            </w:pPr>
            <w:r>
              <w:t xml:space="preserve">-</w:t>
            </w:r>
          </w:p>
        </w:tc>
        <w:tc>
          <w:p>
            <w:pPr>
              <w:pStyle w:val="Compact"/>
              <w:jc w:val="center"/>
            </w:pPr>
            <w:r>
              <w:t xml:space="preserve">transmantle</w:t>
            </w:r>
          </w:p>
        </w:tc>
        <w:tc>
          <w:p>
            <w:pPr>
              <w:pStyle w:val="Compact"/>
              <w:jc w:val="center"/>
            </w:pPr>
            <w:r>
              <w:t xml:space="preserve">+</w:t>
            </w:r>
          </w:p>
        </w:tc>
      </w:tr>
      <w:tr>
        <w:tc>
          <w:p>
            <w:pPr>
              <w:pStyle w:val="Compact"/>
              <w:jc w:val="center"/>
            </w:pPr>
            <w:r>
              <w:t xml:space="preserve">5</w:t>
            </w:r>
          </w:p>
        </w:tc>
        <w:tc>
          <w:p>
            <w:pPr>
              <w:pStyle w:val="Compact"/>
              <w:jc w:val="center"/>
            </w:pPr>
            <w:r>
              <w:t xml:space="preserve">F</w:t>
            </w:r>
          </w:p>
        </w:tc>
        <w:tc>
          <w:p>
            <w:pPr>
              <w:pStyle w:val="Compact"/>
              <w:jc w:val="center"/>
            </w:pPr>
            <w:r>
              <w:t xml:space="preserve">25</w:t>
            </w:r>
          </w:p>
        </w:tc>
        <w:tc>
          <w:p>
            <w:pPr>
              <w:pStyle w:val="Compact"/>
              <w:jc w:val="center"/>
            </w:pPr>
            <w:r>
              <w:t xml:space="preserve">22</w:t>
            </w:r>
          </w:p>
        </w:tc>
        <w:tc>
          <w:p>
            <w:pPr>
              <w:pStyle w:val="Compact"/>
              <w:jc w:val="center"/>
            </w:pPr>
            <w:r>
              <w:t xml:space="preserve">3</w:t>
            </w:r>
          </w:p>
        </w:tc>
        <w:tc>
          <w:p>
            <w:pPr>
              <w:pStyle w:val="Compact"/>
              <w:jc w:val="center"/>
            </w:pPr>
            <w:r>
              <w:t xml:space="preserve">LF</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r>
      <w:tr>
        <w:tc>
          <w:p>
            <w:pPr>
              <w:pStyle w:val="Compact"/>
              <w:jc w:val="center"/>
            </w:pPr>
            <w:r>
              <w:t xml:space="preserve">6</w:t>
            </w:r>
          </w:p>
        </w:tc>
        <w:tc>
          <w:p>
            <w:pPr>
              <w:pStyle w:val="Compact"/>
              <w:jc w:val="center"/>
            </w:pPr>
            <w:r>
              <w:t xml:space="preserve">F</w:t>
            </w:r>
          </w:p>
        </w:tc>
        <w:tc>
          <w:p>
            <w:pPr>
              <w:pStyle w:val="Compact"/>
              <w:jc w:val="center"/>
            </w:pPr>
            <w:r>
              <w:t xml:space="preserve">17</w:t>
            </w:r>
          </w:p>
        </w:tc>
        <w:tc>
          <w:p>
            <w:pPr>
              <w:pStyle w:val="Compact"/>
              <w:jc w:val="center"/>
            </w:pPr>
            <w:r>
              <w:t xml:space="preserve">11</w:t>
            </w:r>
          </w:p>
        </w:tc>
        <w:tc>
          <w:p>
            <w:pPr>
              <w:pStyle w:val="Compact"/>
              <w:jc w:val="center"/>
            </w:pPr>
            <w:r>
              <w:t xml:space="preserve">6</w:t>
            </w:r>
          </w:p>
        </w:tc>
        <w:tc>
          <w:p>
            <w:pPr>
              <w:pStyle w:val="Compact"/>
              <w:jc w:val="center"/>
            </w:pPr>
            <w:r>
              <w:t xml:space="preserve">RT</w:t>
            </w:r>
          </w:p>
        </w:tc>
        <w:tc>
          <w:p>
            <w:pPr>
              <w:pStyle w:val="Compact"/>
              <w:jc w:val="center"/>
            </w:pPr>
            <w:r>
              <w:t xml:space="preserve">-</w:t>
            </w:r>
          </w:p>
        </w:tc>
        <w:tc>
          <w:p>
            <w:pPr>
              <w:pStyle w:val="Compact"/>
              <w:jc w:val="center"/>
            </w:pPr>
            <w:r>
              <w:t xml:space="preserve">-</w:t>
            </w:r>
          </w:p>
        </w:tc>
        <w:tc>
          <w:p>
            <w:pPr>
              <w:pStyle w:val="Compact"/>
              <w:jc w:val="center"/>
            </w:pPr>
            <w:r>
              <w:t xml:space="preserve">transmantle</w:t>
            </w:r>
          </w:p>
        </w:tc>
        <w:tc>
          <w:p>
            <w:pPr>
              <w:pStyle w:val="Compact"/>
              <w:jc w:val="center"/>
            </w:pPr>
            <w:r>
              <w:t xml:space="preserve">+</w:t>
            </w:r>
          </w:p>
        </w:tc>
      </w:tr>
      <w:tr>
        <w:tc>
          <w:p>
            <w:pPr>
              <w:pStyle w:val="Compact"/>
              <w:jc w:val="center"/>
            </w:pPr>
            <w:r>
              <w:t xml:space="preserve">7</w:t>
            </w:r>
          </w:p>
        </w:tc>
        <w:tc>
          <w:p>
            <w:pPr>
              <w:pStyle w:val="Compact"/>
              <w:jc w:val="center"/>
            </w:pPr>
            <w:r>
              <w:t xml:space="preserve">F</w:t>
            </w:r>
          </w:p>
        </w:tc>
        <w:tc>
          <w:p>
            <w:pPr>
              <w:pStyle w:val="Compact"/>
              <w:jc w:val="center"/>
            </w:pPr>
            <w:r>
              <w:t xml:space="preserve">43</w:t>
            </w:r>
          </w:p>
        </w:tc>
        <w:tc>
          <w:p>
            <w:pPr>
              <w:pStyle w:val="Compact"/>
              <w:jc w:val="center"/>
            </w:pPr>
            <w:r>
              <w:t xml:space="preserve">8</w:t>
            </w:r>
          </w:p>
        </w:tc>
        <w:tc>
          <w:p>
            <w:pPr>
              <w:pStyle w:val="Compact"/>
              <w:jc w:val="center"/>
            </w:pPr>
            <w:r>
              <w:t xml:space="preserve">35</w:t>
            </w:r>
          </w:p>
        </w:tc>
        <w:tc>
          <w:p>
            <w:pPr>
              <w:pStyle w:val="Compact"/>
              <w:jc w:val="center"/>
            </w:pPr>
            <w:r>
              <w:t xml:space="preserve">RF</w:t>
            </w:r>
          </w:p>
        </w:tc>
        <w:tc>
          <w:p>
            <w:pPr>
              <w:pStyle w:val="Compact"/>
              <w:jc w:val="center"/>
            </w:pPr>
            <w:r>
              <w:t xml:space="preserve">Partial</w:t>
            </w:r>
          </w:p>
        </w:tc>
        <w:tc>
          <w:p>
            <w:pPr>
              <w:pStyle w:val="Compact"/>
              <w:jc w:val="center"/>
            </w:pPr>
            <w:r>
              <w:t xml:space="preserve">3a</w:t>
            </w:r>
          </w:p>
        </w:tc>
        <w:tc>
          <w:p>
            <w:pPr>
              <w:pStyle w:val="Compact"/>
              <w:jc w:val="center"/>
            </w:pPr>
            <w:r>
              <w:t xml:space="preserve">FCD IIb</w:t>
            </w:r>
          </w:p>
        </w:tc>
        <w:tc>
          <w:p>
            <w:pPr>
              <w:pStyle w:val="Compact"/>
              <w:jc w:val="center"/>
            </w:pPr>
            <w:r>
              <w:t xml:space="preserve">-</w:t>
            </w:r>
          </w:p>
        </w:tc>
      </w:tr>
      <w:tr>
        <w:tc>
          <w:p>
            <w:pPr>
              <w:pStyle w:val="Compact"/>
              <w:jc w:val="center"/>
            </w:pPr>
            <w:r>
              <w:t xml:space="preserve">8</w:t>
            </w:r>
          </w:p>
        </w:tc>
        <w:tc>
          <w:p>
            <w:pPr>
              <w:pStyle w:val="Compact"/>
              <w:jc w:val="center"/>
            </w:pPr>
            <w:r>
              <w:t xml:space="preserve">F</w:t>
            </w:r>
          </w:p>
        </w:tc>
        <w:tc>
          <w:p>
            <w:pPr>
              <w:pStyle w:val="Compact"/>
              <w:jc w:val="center"/>
            </w:pPr>
            <w:r>
              <w:t xml:space="preserve">40</w:t>
            </w:r>
          </w:p>
        </w:tc>
        <w:tc>
          <w:p>
            <w:pPr>
              <w:pStyle w:val="Compact"/>
              <w:jc w:val="center"/>
            </w:pPr>
            <w:r>
              <w:t xml:space="preserve">6</w:t>
            </w:r>
          </w:p>
        </w:tc>
        <w:tc>
          <w:p>
            <w:pPr>
              <w:pStyle w:val="Compact"/>
              <w:jc w:val="center"/>
            </w:pPr>
            <w:r>
              <w:t xml:space="preserve">34</w:t>
            </w:r>
          </w:p>
        </w:tc>
        <w:tc>
          <w:p>
            <w:pPr>
              <w:pStyle w:val="Compact"/>
              <w:jc w:val="center"/>
            </w:pPr>
            <w:r>
              <w:t xml:space="preserve">LF</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r>
      <w:tr>
        <w:tc>
          <w:p>
            <w:pPr>
              <w:pStyle w:val="Compact"/>
              <w:jc w:val="center"/>
            </w:pPr>
            <w:r>
              <w:t xml:space="preserve">9</w:t>
            </w:r>
          </w:p>
        </w:tc>
        <w:tc>
          <w:p>
            <w:pPr>
              <w:pStyle w:val="Compact"/>
              <w:jc w:val="center"/>
            </w:pPr>
            <w:r>
              <w:t xml:space="preserve">F</w:t>
            </w:r>
          </w:p>
        </w:tc>
        <w:tc>
          <w:p>
            <w:pPr>
              <w:pStyle w:val="Compact"/>
              <w:jc w:val="center"/>
            </w:pPr>
            <w:r>
              <w:t xml:space="preserve">47</w:t>
            </w:r>
          </w:p>
        </w:tc>
        <w:tc>
          <w:p>
            <w:pPr>
              <w:pStyle w:val="Compact"/>
              <w:jc w:val="center"/>
            </w:pPr>
            <w:r>
              <w:t xml:space="preserve">20</w:t>
            </w:r>
          </w:p>
        </w:tc>
        <w:tc>
          <w:p>
            <w:pPr>
              <w:pStyle w:val="Compact"/>
              <w:jc w:val="center"/>
            </w:pPr>
            <w:r>
              <w:t xml:space="preserve">27</w:t>
            </w:r>
          </w:p>
        </w:tc>
        <w:tc>
          <w:p>
            <w:pPr>
              <w:pStyle w:val="Compact"/>
              <w:jc w:val="center"/>
            </w:pPr>
            <w:r>
              <w:t xml:space="preserve">RP</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r>
      <w:tr>
        <w:tc>
          <w:p>
            <w:pPr>
              <w:pStyle w:val="Compact"/>
              <w:jc w:val="center"/>
            </w:pPr>
            <w:r>
              <w:t xml:space="preserve">10</w:t>
            </w:r>
          </w:p>
        </w:tc>
        <w:tc>
          <w:p>
            <w:pPr>
              <w:pStyle w:val="Compact"/>
              <w:jc w:val="center"/>
            </w:pPr>
            <w:r>
              <w:t xml:space="preserve">M</w:t>
            </w:r>
          </w:p>
        </w:tc>
        <w:tc>
          <w:p>
            <w:pPr>
              <w:pStyle w:val="Compact"/>
              <w:jc w:val="center"/>
            </w:pPr>
            <w:r>
              <w:t xml:space="preserve">37</w:t>
            </w:r>
          </w:p>
        </w:tc>
        <w:tc>
          <w:p>
            <w:pPr>
              <w:pStyle w:val="Compact"/>
              <w:jc w:val="center"/>
            </w:pPr>
            <w:r>
              <w:t xml:space="preserve">19</w:t>
            </w:r>
          </w:p>
        </w:tc>
        <w:tc>
          <w:p>
            <w:pPr>
              <w:pStyle w:val="Compact"/>
              <w:jc w:val="center"/>
            </w:pPr>
            <w:r>
              <w:t xml:space="preserve">18</w:t>
            </w:r>
          </w:p>
        </w:tc>
        <w:tc>
          <w:p>
            <w:pPr>
              <w:pStyle w:val="Compact"/>
              <w:jc w:val="center"/>
            </w:pPr>
            <w:r>
              <w:t xml:space="preserve">LT</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r>
      <w:tr>
        <w:tc>
          <w:p>
            <w:pPr>
              <w:pStyle w:val="Compact"/>
              <w:jc w:val="center"/>
            </w:pPr>
            <w:r>
              <w:t xml:space="preserve">11</w:t>
            </w:r>
          </w:p>
        </w:tc>
        <w:tc>
          <w:p>
            <w:pPr>
              <w:pStyle w:val="Compact"/>
              <w:jc w:val="center"/>
            </w:pPr>
            <w:r>
              <w:t xml:space="preserve">F</w:t>
            </w:r>
          </w:p>
        </w:tc>
        <w:tc>
          <w:p>
            <w:pPr>
              <w:pStyle w:val="Compact"/>
              <w:jc w:val="center"/>
            </w:pPr>
            <w:r>
              <w:t xml:space="preserve">21</w:t>
            </w:r>
          </w:p>
        </w:tc>
        <w:tc>
          <w:p>
            <w:pPr>
              <w:pStyle w:val="Compact"/>
              <w:jc w:val="center"/>
            </w:pPr>
            <w:r>
              <w:t xml:space="preserve">3</w:t>
            </w:r>
          </w:p>
        </w:tc>
        <w:tc>
          <w:p>
            <w:pPr>
              <w:pStyle w:val="Compact"/>
              <w:jc w:val="center"/>
            </w:pPr>
            <w:r>
              <w:t xml:space="preserve">18</w:t>
            </w:r>
          </w:p>
        </w:tc>
        <w:tc>
          <w:p>
            <w:pPr>
              <w:pStyle w:val="Compact"/>
              <w:jc w:val="center"/>
            </w:pPr>
            <w:r>
              <w:t xml:space="preserve">LF</w:t>
            </w:r>
          </w:p>
        </w:tc>
        <w:tc>
          <w:p>
            <w:pPr>
              <w:pStyle w:val="Compact"/>
              <w:jc w:val="center"/>
            </w:pPr>
            <w:r>
              <w:t xml:space="preserve">Y</w:t>
            </w:r>
          </w:p>
        </w:tc>
        <w:tc>
          <w:p>
            <w:pPr>
              <w:pStyle w:val="Compact"/>
              <w:jc w:val="center"/>
            </w:pPr>
            <w:r>
              <w:t xml:space="preserve">1a</w:t>
            </w:r>
          </w:p>
        </w:tc>
        <w:tc>
          <w:p>
            <w:pPr>
              <w:pStyle w:val="Compact"/>
              <w:jc w:val="center"/>
            </w:pPr>
            <w:r>
              <w:t xml:space="preserve">FCD IIa</w:t>
            </w:r>
          </w:p>
        </w:tc>
        <w:tc>
          <w:p>
            <w:pPr>
              <w:pStyle w:val="Compact"/>
              <w:jc w:val="center"/>
            </w:pPr>
            <w:r>
              <w:t xml:space="preserve">-</w:t>
            </w:r>
          </w:p>
        </w:tc>
      </w:tr>
      <w:tr>
        <w:tc>
          <w:p>
            <w:pPr>
              <w:pStyle w:val="Compact"/>
              <w:jc w:val="center"/>
            </w:pPr>
            <w:r>
              <w:t xml:space="preserve">12</w:t>
            </w:r>
          </w:p>
        </w:tc>
        <w:tc>
          <w:p>
            <w:pPr>
              <w:pStyle w:val="Compact"/>
              <w:jc w:val="center"/>
            </w:pPr>
            <w:r>
              <w:t xml:space="preserve">M</w:t>
            </w:r>
          </w:p>
        </w:tc>
        <w:tc>
          <w:p>
            <w:pPr>
              <w:pStyle w:val="Compact"/>
              <w:jc w:val="center"/>
            </w:pPr>
            <w:r>
              <w:t xml:space="preserve">27</w:t>
            </w:r>
          </w:p>
        </w:tc>
        <w:tc>
          <w:p>
            <w:pPr>
              <w:pStyle w:val="Compact"/>
              <w:jc w:val="center"/>
            </w:pPr>
            <w:r>
              <w:t xml:space="preserve">9</w:t>
            </w:r>
          </w:p>
        </w:tc>
        <w:tc>
          <w:p>
            <w:pPr>
              <w:pStyle w:val="Compact"/>
              <w:jc w:val="center"/>
            </w:pPr>
            <w:r>
              <w:t xml:space="preserve">18</w:t>
            </w:r>
          </w:p>
        </w:tc>
        <w:tc>
          <w:p>
            <w:pPr>
              <w:pStyle w:val="Compact"/>
              <w:jc w:val="center"/>
            </w:pPr>
            <w:r>
              <w:t xml:space="preserve">RP</w:t>
            </w:r>
          </w:p>
        </w:tc>
        <w:tc>
          <w:p>
            <w:pPr>
              <w:pStyle w:val="Compact"/>
              <w:jc w:val="center"/>
            </w:pPr>
            <w:r>
              <w:t xml:space="preserve">Y</w:t>
            </w:r>
          </w:p>
        </w:tc>
        <w:tc>
          <w:p>
            <w:pPr>
              <w:pStyle w:val="Compact"/>
              <w:jc w:val="center"/>
            </w:pPr>
            <w:r>
              <w:t xml:space="preserve">1a</w:t>
            </w:r>
          </w:p>
        </w:tc>
        <w:tc>
          <w:p>
            <w:pPr>
              <w:pStyle w:val="Compact"/>
              <w:jc w:val="center"/>
            </w:pPr>
            <w:r>
              <w:t xml:space="preserve">FCD IIa</w:t>
            </w:r>
          </w:p>
        </w:tc>
        <w:tc>
          <w:p>
            <w:pPr>
              <w:pStyle w:val="Compact"/>
              <w:jc w:val="center"/>
            </w:pPr>
            <w:r>
              <w:t xml:space="preserve">-</w:t>
            </w:r>
          </w:p>
        </w:tc>
      </w:tr>
      <w:tr>
        <w:tc>
          <w:p>
            <w:pPr>
              <w:pStyle w:val="Compact"/>
              <w:jc w:val="center"/>
            </w:pPr>
            <w:r>
              <w:t xml:space="preserve">13</w:t>
            </w:r>
          </w:p>
        </w:tc>
        <w:tc>
          <w:p>
            <w:pPr>
              <w:pStyle w:val="Compact"/>
              <w:jc w:val="center"/>
            </w:pPr>
            <w:r>
              <w:t xml:space="preserve">M</w:t>
            </w:r>
          </w:p>
        </w:tc>
        <w:tc>
          <w:p>
            <w:pPr>
              <w:pStyle w:val="Compact"/>
              <w:jc w:val="center"/>
            </w:pPr>
            <w:r>
              <w:t xml:space="preserve">26</w:t>
            </w:r>
          </w:p>
        </w:tc>
        <w:tc>
          <w:p>
            <w:pPr>
              <w:pStyle w:val="Compact"/>
              <w:jc w:val="center"/>
            </w:pPr>
            <w:r>
              <w:t xml:space="preserve">7</w:t>
            </w:r>
          </w:p>
        </w:tc>
        <w:tc>
          <w:p>
            <w:pPr>
              <w:pStyle w:val="Compact"/>
              <w:jc w:val="center"/>
            </w:pPr>
            <w:r>
              <w:t xml:space="preserve">19</w:t>
            </w:r>
          </w:p>
        </w:tc>
        <w:tc>
          <w:p>
            <w:pPr>
              <w:pStyle w:val="Compact"/>
              <w:jc w:val="center"/>
            </w:pPr>
            <w:r>
              <w:t xml:space="preserve">LF</w:t>
            </w:r>
          </w:p>
        </w:tc>
        <w:tc>
          <w:p>
            <w:pPr>
              <w:pStyle w:val="Compact"/>
              <w:jc w:val="center"/>
            </w:pPr>
            <w:r>
              <w:t xml:space="preserve">Y</w:t>
            </w:r>
          </w:p>
        </w:tc>
        <w:tc>
          <w:p>
            <w:pPr>
              <w:pStyle w:val="Compact"/>
              <w:jc w:val="center"/>
            </w:pPr>
            <w:r>
              <w:t xml:space="preserve">1a</w:t>
            </w:r>
          </w:p>
        </w:tc>
        <w:tc>
          <w:p>
            <w:pPr>
              <w:pStyle w:val="Compact"/>
              <w:jc w:val="center"/>
            </w:pPr>
            <w:r>
              <w:t xml:space="preserve">FCD IIb</w:t>
            </w:r>
          </w:p>
        </w:tc>
        <w:tc>
          <w:p>
            <w:pPr>
              <w:pStyle w:val="Compact"/>
              <w:jc w:val="center"/>
            </w:pPr>
            <w:r>
              <w:t xml:space="preserve">-</w:t>
            </w:r>
          </w:p>
        </w:tc>
      </w:tr>
      <w:tr>
        <w:tc>
          <w:p>
            <w:pPr>
              <w:pStyle w:val="Compact"/>
              <w:jc w:val="center"/>
            </w:pPr>
            <w:r>
              <w:t xml:space="preserve">14</w:t>
            </w:r>
          </w:p>
        </w:tc>
        <w:tc>
          <w:p>
            <w:pPr>
              <w:pStyle w:val="Compact"/>
              <w:jc w:val="center"/>
            </w:pPr>
            <w:r>
              <w:t xml:space="preserve">M</w:t>
            </w:r>
          </w:p>
        </w:tc>
        <w:tc>
          <w:p>
            <w:pPr>
              <w:pStyle w:val="Compact"/>
              <w:jc w:val="center"/>
            </w:pPr>
            <w:r>
              <w:t xml:space="preserve">15</w:t>
            </w:r>
          </w:p>
        </w:tc>
        <w:tc>
          <w:p>
            <w:pPr>
              <w:pStyle w:val="Compact"/>
              <w:jc w:val="center"/>
            </w:pPr>
            <w:r>
              <w:t xml:space="preserve">3</w:t>
            </w:r>
          </w:p>
        </w:tc>
        <w:tc>
          <w:p>
            <w:pPr>
              <w:pStyle w:val="Compact"/>
              <w:jc w:val="center"/>
            </w:pPr>
            <w:r>
              <w:t xml:space="preserve">12</w:t>
            </w:r>
          </w:p>
        </w:tc>
        <w:tc>
          <w:p>
            <w:pPr>
              <w:pStyle w:val="Compact"/>
              <w:jc w:val="center"/>
            </w:pPr>
            <w:r>
              <w:t xml:space="preserve">RF</w:t>
            </w:r>
          </w:p>
        </w:tc>
        <w:tc>
          <w:p>
            <w:pPr>
              <w:pStyle w:val="Compact"/>
              <w:jc w:val="center"/>
            </w:pPr>
            <w:r>
              <w:t xml:space="preserve">Partial</w:t>
            </w:r>
          </w:p>
        </w:tc>
        <w:tc>
          <w:p>
            <w:pPr>
              <w:pStyle w:val="Compact"/>
              <w:jc w:val="center"/>
            </w:pPr>
            <w:r>
              <w:t xml:space="preserve">3</w:t>
            </w:r>
          </w:p>
        </w:tc>
        <w:tc>
          <w:p>
            <w:pPr>
              <w:pStyle w:val="Compact"/>
              <w:jc w:val="center"/>
            </w:pPr>
            <w:r>
              <w:t xml:space="preserve">FCD IIa</w:t>
            </w:r>
          </w:p>
        </w:tc>
        <w:tc>
          <w:p>
            <w:pPr>
              <w:pStyle w:val="Compact"/>
              <w:jc w:val="center"/>
            </w:pPr>
            <w:r>
              <w:t xml:space="preserve">-</w:t>
            </w:r>
          </w:p>
        </w:tc>
      </w:tr>
      <w:tr>
        <w:tc>
          <w:p>
            <w:pPr>
              <w:pStyle w:val="Compact"/>
              <w:jc w:val="center"/>
            </w:pPr>
            <w:r>
              <w:t xml:space="preserve">15</w:t>
            </w:r>
          </w:p>
        </w:tc>
        <w:tc>
          <w:p>
            <w:pPr>
              <w:pStyle w:val="Compact"/>
              <w:jc w:val="center"/>
            </w:pPr>
            <w:r>
              <w:t xml:space="preserve">F</w:t>
            </w:r>
          </w:p>
        </w:tc>
        <w:tc>
          <w:p>
            <w:pPr>
              <w:pStyle w:val="Compact"/>
              <w:jc w:val="center"/>
            </w:pPr>
            <w:r>
              <w:t xml:space="preserve">22</w:t>
            </w:r>
          </w:p>
        </w:tc>
        <w:tc>
          <w:p>
            <w:pPr>
              <w:pStyle w:val="Compact"/>
              <w:jc w:val="center"/>
            </w:pPr>
            <w:r>
              <w:t xml:space="preserve">21</w:t>
            </w:r>
          </w:p>
        </w:tc>
        <w:tc>
          <w:p>
            <w:pPr>
              <w:pStyle w:val="Compact"/>
              <w:jc w:val="center"/>
            </w:pPr>
            <w:r>
              <w:t xml:space="preserve">1</w:t>
            </w:r>
          </w:p>
        </w:tc>
        <w:tc>
          <w:p>
            <w:pPr>
              <w:pStyle w:val="Compact"/>
              <w:jc w:val="center"/>
            </w:pPr>
            <w:r>
              <w:t xml:space="preserve">LC</w:t>
            </w:r>
          </w:p>
        </w:tc>
        <w:tc>
          <w:p>
            <w:pPr>
              <w:pStyle w:val="Compact"/>
              <w:jc w:val="center"/>
            </w:pPr>
            <w:r>
              <w:t xml:space="preserve">Partial</w:t>
            </w:r>
          </w:p>
        </w:tc>
        <w:tc>
          <w:p>
            <w:pPr>
              <w:pStyle w:val="Compact"/>
              <w:jc w:val="center"/>
            </w:pPr>
            <w:r>
              <w:t xml:space="preserve">4</w:t>
            </w:r>
          </w:p>
        </w:tc>
        <w:tc>
          <w:p>
            <w:pPr>
              <w:pStyle w:val="Compact"/>
              <w:jc w:val="center"/>
            </w:pPr>
            <w:r>
              <w:t xml:space="preserve">FCD IIa</w:t>
            </w:r>
          </w:p>
        </w:tc>
        <w:tc>
          <w:p>
            <w:pPr>
              <w:pStyle w:val="Compact"/>
              <w:jc w:val="center"/>
            </w:pPr>
            <w:r>
              <w:t xml:space="preserve">-</w:t>
            </w:r>
          </w:p>
        </w:tc>
      </w:tr>
    </w:tbl>
    <w:p>
      <w:pPr>
        <w:pStyle w:val="Heading2"/>
      </w:pPr>
      <w:bookmarkStart w:id="45" w:name="feature-prediction"/>
      <w:bookmarkEnd w:id="45"/>
      <w:r>
        <w:t xml:space="preserve">Feature Prediction</w:t>
      </w:r>
    </w:p>
    <w:p>
      <w:pPr>
        <w:pStyle w:val="FirstParagraph"/>
      </w:pPr>
      <w:r>
        <w:t xml:space="preserve">To evaluate whether our 14-dimensional Gaussianized local image filter</w:t>
      </w:r>
      <w:r>
        <w:t xml:space="preserve"> </w:t>
      </w:r>
      <w:r>
        <w:t xml:space="preserve">feature set encompasses information captured using more typically</w:t>
      </w:r>
      <w:r>
        <w:t xml:space="preserve"> </w:t>
      </w:r>
      <w:r>
        <w:t xml:space="preserve">utilized local features, we trained quadratic regression models to</w:t>
      </w:r>
      <w:r>
        <w:t xml:space="preserve"> </w:t>
      </w:r>
      <w:r>
        <w:t xml:space="preserve">predict several typical features (Figure 2). Predictions were accurate</w:t>
      </w:r>
      <w:r>
        <w:t xml:space="preserve"> </w:t>
      </w:r>
      <w:r>
        <w:t xml:space="preserve">with large effect sizes for FreeSurfer measures of curvature and sulcal</w:t>
      </w:r>
      <w:r>
        <w:t xml:space="preserve"> </w:t>
      </w:r>
      <w:r>
        <w:t xml:space="preserve">depth (r</w:t>
      </w:r>
      <w:r>
        <w:rPr>
          <w:vertAlign w:val="superscript"/>
        </w:rPr>
        <w:t xml:space="preserve">2 </w:t>
      </w:r>
      <w:r>
        <w:t xml:space="preserve">= 0.80 and r</w:t>
      </w:r>
      <w:r>
        <w:rPr>
          <w:vertAlign w:val="superscript"/>
        </w:rPr>
        <w:t xml:space="preserve">2 </w:t>
      </w:r>
      <w:r>
        <w:t xml:space="preserve">= 0.73</w:t>
      </w:r>
      <w:r>
        <w:t xml:space="preserve"> </w:t>
      </w:r>
      <w:r>
        <w:t xml:space="preserve">respectively), gray-white contrast (r</w:t>
      </w:r>
      <w:r>
        <w:rPr>
          <w:vertAlign w:val="superscript"/>
        </w:rPr>
        <w:t xml:space="preserve">2</w:t>
      </w:r>
      <w:r>
        <w:t xml:space="preserve"> </w:t>
      </w:r>
      <w:r>
        <w:t xml:space="preserve">= 0.61), and</w:t>
      </w:r>
      <w:r>
        <w:t xml:space="preserve"> </w:t>
      </w:r>
      <w:r>
        <w:t xml:space="preserve">cortical thickness (r</w:t>
      </w:r>
      <w:r>
        <w:rPr>
          <w:vertAlign w:val="superscript"/>
        </w:rPr>
        <w:t xml:space="preserve">2</w:t>
      </w:r>
      <w:r>
        <w:t xml:space="preserve"> </w:t>
      </w:r>
      <w:r>
        <w:t xml:space="preserve">= 0.46), as well as myelin</w:t>
      </w:r>
      <w:r>
        <w:t xml:space="preserve"> </w:t>
      </w:r>
      <w:r>
        <w:t xml:space="preserve">contrast (r</w:t>
      </w:r>
      <w:r>
        <w:rPr>
          <w:vertAlign w:val="superscript"/>
        </w:rPr>
        <w:t xml:space="preserve">2</w:t>
      </w:r>
      <w:r>
        <w:t xml:space="preserve"> </w:t>
      </w:r>
      <w:r>
        <w:t xml:space="preserve">= 0.39). Spatial distributions appear</w:t>
      </w:r>
      <w:r>
        <w:t xml:space="preserve"> </w:t>
      </w:r>
      <w:r>
        <w:t xml:space="preserve">similar between measured and predicted features.</w:t>
      </w:r>
    </w:p>
    <w:p>
      <w:pPr>
        <w:pStyle w:val="FigureWithCaption"/>
      </w:pPr>
      <w:r>
        <w:drawing>
          <wp:inline>
            <wp:extent cx="1639200" cy="1023600"/>
            <wp:effectExtent b="0" l="0" r="0" t="0"/>
            <wp:docPr descr="Feature Prediction. We were able to predict several commonly used cortical features using our 14 normalized multivariate Gaussian features from our HVs as inputs into quadratic regression models. The top row displays the spatial distribution of the measured values of each feature; the middle row displays the predicted features from our models, averaged across HVs plotted on the cortical surface; cool-warm color scale is used to highlight the spatial consistency of the extrema for each measure.  Measured versus predicted values for each cortical patch are plotted against each other (bottom); coefficients of determination ( r2) are reported for each. " title="" id="1" name="Picture"/>
            <a:graphic>
              <a:graphicData uri="http://schemas.openxmlformats.org/drawingml/2006/picture">
                <pic:pic>
                  <pic:nvPicPr>
                    <pic:cNvPr descr="figures/Snyder-Fig2/Snyder-Fig2.png" id="0" name="Picture"/>
                    <pic:cNvPicPr>
                      <a:picLocks noChangeArrowheads="1" noChangeAspect="1"/>
                    </pic:cNvPicPr>
                  </pic:nvPicPr>
                  <pic:blipFill>
                    <a:blip r:embed="rId46"/>
                    <a:stretch>
                      <a:fillRect/>
                    </a:stretch>
                  </pic:blipFill>
                  <pic:spPr bwMode="auto">
                    <a:xfrm>
                      <a:off x="0" y="0"/>
                      <a:ext cx="1639200" cy="1023600"/>
                    </a:xfrm>
                    <a:prstGeom prst="rect">
                      <a:avLst/>
                    </a:prstGeom>
                    <a:noFill/>
                    <a:ln w="9525">
                      <a:noFill/>
                      <a:headEnd/>
                      <a:tailEnd/>
                    </a:ln>
                  </pic:spPr>
                </pic:pic>
              </a:graphicData>
            </a:graphic>
          </wp:inline>
        </w:drawing>
      </w:r>
    </w:p>
    <w:p>
      <w:pPr>
        <w:pStyle w:val="ImageCaption"/>
      </w:pPr>
      <w:r>
        <w:t xml:space="preserve">Feature Prediction. We were able to predict several commonly used</w:t>
      </w:r>
      <w:r>
        <w:t xml:space="preserve"> </w:t>
      </w:r>
      <w:r>
        <w:t xml:space="preserve">cortical features using our 14 normalized multivariate Gaussian features</w:t>
      </w:r>
      <w:r>
        <w:t xml:space="preserve"> </w:t>
      </w:r>
      <w:r>
        <w:t xml:space="preserve">from our HVs as inputs into quadratic regression models. The top row</w:t>
      </w:r>
      <w:r>
        <w:t xml:space="preserve"> </w:t>
      </w:r>
      <w:r>
        <w:t xml:space="preserve">displays the spatial distribution of the measured values of each</w:t>
      </w:r>
      <w:r>
        <w:t xml:space="preserve"> </w:t>
      </w:r>
      <w:r>
        <w:t xml:space="preserve">feature; the middle row displays the predicted features from our models,</w:t>
      </w:r>
      <w:r>
        <w:t xml:space="preserve"> </w:t>
      </w:r>
      <w:r>
        <w:t xml:space="preserve">averaged across HVs plotted on the cortical surface; cool-warm color</w:t>
      </w:r>
      <w:r>
        <w:t xml:space="preserve"> </w:t>
      </w:r>
      <w:r>
        <w:t xml:space="preserve">scale is used to highlight the spatial consistency of the extrema for</w:t>
      </w:r>
      <w:r>
        <w:t xml:space="preserve"> </w:t>
      </w:r>
      <w:r>
        <w:t xml:space="preserve">each measure.  Measured versus predicted values for each cortical patch</w:t>
      </w:r>
      <w:r>
        <w:t xml:space="preserve"> </w:t>
      </w:r>
      <w:r>
        <w:t xml:space="preserve">are plotted against each other (bottom); coefficients of determination (</w:t>
      </w:r>
      <w:r>
        <w:t xml:space="preserve"> </w:t>
      </w:r>
      <w:r>
        <w:t xml:space="preserve">r</w:t>
      </w:r>
      <w:r>
        <w:rPr>
          <w:vertAlign w:val="superscript"/>
        </w:rPr>
        <w:t xml:space="preserve">2</w:t>
      </w:r>
      <w:r>
        <w:t xml:space="preserve">) are reported for each.</w:t>
      </w:r>
      <w:r>
        <w:t xml:space="preserve"> </w:t>
      </w:r>
    </w:p>
    <w:p>
      <w:pPr>
        <w:pStyle w:val="Heading2"/>
      </w:pPr>
      <w:bookmarkStart w:id="47" w:name="outlier-detection-1"/>
      <w:bookmarkEnd w:id="47"/>
      <w:r>
        <w:t xml:space="preserve">Outlier Detection</w:t>
      </w:r>
    </w:p>
    <w:p>
      <w:pPr>
        <w:pStyle w:val="FirstParagraph"/>
      </w:pPr>
      <w:r>
        <w:t xml:space="preserve">In our normative model, outliers can be identified based on their</w:t>
      </w:r>
      <w:r>
        <w:t xml:space="preserve"> </w:t>
      </w:r>
      <w:r>
        <w:t xml:space="preserve">distance from the center of the distribution (Mahalanobis distance</w:t>
      </w:r>
      <w:r>
        <w:t xml:space="preserve"> </w:t>
      </w:r>
      <w:r>
        <w:t xml:space="preserve">(MD)).  Across HVs, we identified twelve and seven consistent outlier</w:t>
      </w:r>
      <w:r>
        <w:t xml:space="preserve"> </w:t>
      </w:r>
      <w:r>
        <w:t xml:space="preserve">regions in the left and right hemispheres respectively, located mostly</w:t>
      </w:r>
      <w:r>
        <w:t xml:space="preserve"> </w:t>
      </w:r>
      <w:r>
        <w:t xml:space="preserve">in or adjacent to primary sensorimotor cortices or in limbic and</w:t>
      </w:r>
      <w:r>
        <w:t xml:space="preserve"> </w:t>
      </w:r>
      <w:r>
        <w:t xml:space="preserve">paralimbic regions (Figure 4a).  We selected two of the top three</w:t>
      </w:r>
      <w:r>
        <w:t xml:space="preserve"> </w:t>
      </w:r>
      <w:r>
        <w:t xml:space="preserve">outlier regions as exemplar ROIs, located in the anterior insula and</w:t>
      </w:r>
      <w:r>
        <w:t xml:space="preserve"> </w:t>
      </w:r>
      <w:r>
        <w:t xml:space="preserve">precentral gyrus (Figure 4b).  FCDs were significant outliers compared</w:t>
      </w:r>
      <w:r>
        <w:t xml:space="preserve"> </w:t>
      </w:r>
      <w:r>
        <w:t xml:space="preserve">to randomly selected cortical patches (FCD MD = </w:t>
      </w:r>
      <m:oMath>
        <m:r>
          <m:t>3.53</m:t>
        </m:r>
        <m:r>
          <m:t>±</m:t>
        </m:r>
        <m:r>
          <m:t>0.60</m:t>
        </m:r>
      </m:oMath>
      <w:r>
        <w:t xml:space="preserve"> </w:t>
      </w:r>
      <w:r>
        <w:t xml:space="preserve">versus random patches MD = </w:t>
      </w:r>
      <m:oMath>
        <m:r>
          <m:t>2.61</m:t>
        </m:r>
        <m:r>
          <m:t>±</m:t>
        </m:r>
        <m:r>
          <m:t>0.57</m:t>
        </m:r>
      </m:oMath>
      <w:r>
        <w:t xml:space="preserve">,</w:t>
      </w:r>
      <w:r>
        <w:t xml:space="preserve"> </w:t>
      </w:r>
      <w:r>
        <w:t xml:space="preserve">p&lt;0.001, </w:t>
      </w:r>
      <m:oMath>
        <m:r>
          <m:t>d</m:t>
        </m:r>
        <m:r>
          <m:t>=</m:t>
        </m:r>
        <m:r>
          <m:t>1.60</m:t>
        </m:r>
      </m:oMath>
      <w:r>
        <w:t xml:space="preserve">), but only to a similar extent as</w:t>
      </w:r>
      <w:r>
        <w:t xml:space="preserve"> </w:t>
      </w:r>
      <w:r>
        <w:t xml:space="preserve">these normal outlier regions (precentral MD</w:t>
      </w:r>
      <w:r>
        <w:t xml:space="preserve"> </w:t>
      </w:r>
      <w:r>
        <w:t xml:space="preserve">= </w:t>
      </w:r>
      <m:oMath>
        <m:r>
          <m:t>3.46</m:t>
        </m:r>
        <m:r>
          <m:t>±</m:t>
        </m:r>
        <m:r>
          <m:t>0.43</m:t>
        </m:r>
      </m:oMath>
      <w:r>
        <w:t xml:space="preserve">,  </w:t>
      </w:r>
      <m:oMath>
        <m:r>
          <m:t>d</m:t>
        </m:r>
        <m:r>
          <m:t>=</m:t>
        </m:r>
        <m:r>
          <m:t>0.16</m:t>
        </m:r>
      </m:oMath>
      <w:r>
        <w:t xml:space="preserve">,  insula</w:t>
      </w:r>
      <w:r>
        <w:t xml:space="preserve"> </w:t>
      </w:r>
      <w:r>
        <w:t xml:space="preserve">MD </w:t>
      </w:r>
      <w:r>
        <w:rPr>
          <w:i/>
        </w:rPr>
        <w:t xml:space="preserve">=</w:t>
      </w:r>
      <w:r>
        <w:rPr>
          <w:vertAlign w:val="subscript"/>
          <w:i/>
        </w:rPr>
        <w:t xml:space="preserve"> </w:t>
      </w:r>
      <m:oMath>
        <m:r>
          <m:t>3.36</m:t>
        </m:r>
        <m:r>
          <m:t>±</m:t>
        </m:r>
        <m:r>
          <m:t>0.36</m:t>
        </m:r>
      </m:oMath>
      <w:r>
        <w:t xml:space="preserve">, </w:t>
      </w:r>
      <m:oMath>
        <m:r>
          <m:t>d</m:t>
        </m:r>
        <m:r>
          <m:t>=</m:t>
        </m:r>
        <m:r>
          <m:t>0.41</m:t>
        </m:r>
      </m:oMath>
      <w:r>
        <w:t xml:space="preserve">). </w:t>
      </w:r>
    </w:p>
    <w:p>
      <w:pPr>
        <w:pStyle w:val="BodyText"/>
      </w:pPr>
      <w:r>
        <w:br w:type="textWrapping"/>
      </w:r>
    </w:p>
    <w:p>
      <w:pPr>
        <w:pStyle w:val="FigureWithCaption"/>
      </w:pPr>
      <w:r>
        <w:drawing>
          <wp:inline>
            <wp:extent cx="5334000" cy="5277053"/>
            <wp:effectExtent b="0" l="0" r="0" t="0"/>
            <wp:docPr descr="FCD Comparison to Normal Cortical Outlier Regions.  (A) Mahalanobis distances (from the center) of each cortical patch averaged across 30 HVs is plotted onto the smoothed cortical surface, highlighting the variability across the cortex. (B) Left: The top ~5% of outlier patches in HVs were selected and clustered; two exemplar ROIs were selected in the anterior insula (green) and precentral regions (blue).  Patches from the two exemplar ROIs as well as from FCDs are global outliers compared to randomly selected cortical patches (purple).  Right: The locations of patches within these two ROIs across HVs and the average FCD center (red) is plotted in 2D using the primary directions of the centers (larger dots) of each exemplar ROI as the axes.  (C) Similarity maps are shown for each of our exemplar normal cortical outlier ROIs, as well as for the first two components of the average across FCDs. " title="" id="1" name="Picture"/>
            <a:graphic>
              <a:graphicData uri="http://schemas.openxmlformats.org/drawingml/2006/picture">
                <pic:pic>
                  <pic:nvPicPr>
                    <pic:cNvPr descr="figures/Snyder-Fig3/Snyder-Fig3.png" id="0" name="Picture"/>
                    <pic:cNvPicPr>
                      <a:picLocks noChangeArrowheads="1" noChangeAspect="1"/>
                    </pic:cNvPicPr>
                  </pic:nvPicPr>
                  <pic:blipFill>
                    <a:blip r:embed="rId48"/>
                    <a:stretch>
                      <a:fillRect/>
                    </a:stretch>
                  </pic:blipFill>
                  <pic:spPr bwMode="auto">
                    <a:xfrm>
                      <a:off x="0" y="0"/>
                      <a:ext cx="5334000" cy="5277053"/>
                    </a:xfrm>
                    <a:prstGeom prst="rect">
                      <a:avLst/>
                    </a:prstGeom>
                    <a:noFill/>
                    <a:ln w="9525">
                      <a:noFill/>
                      <a:headEnd/>
                      <a:tailEnd/>
                    </a:ln>
                  </pic:spPr>
                </pic:pic>
              </a:graphicData>
            </a:graphic>
          </wp:inline>
        </w:drawing>
      </w:r>
    </w:p>
    <w:p>
      <w:pPr>
        <w:pStyle w:val="ImageCaption"/>
      </w:pPr>
      <w:r>
        <w:t xml:space="preserve">FCD Comparison to Normal Cortical Outlier Regions.  (A) Mahalanobis</w:t>
      </w:r>
      <w:r>
        <w:t xml:space="preserve"> </w:t>
      </w:r>
      <w:r>
        <w:t xml:space="preserve">distances (from the center) of each cortical patch averaged across 30</w:t>
      </w:r>
      <w:r>
        <w:t xml:space="preserve"> </w:t>
      </w:r>
      <w:r>
        <w:t xml:space="preserve">HVs is plotted onto the smoothed cortical surface, highlighting the</w:t>
      </w:r>
      <w:r>
        <w:t xml:space="preserve"> </w:t>
      </w:r>
      <w:r>
        <w:t xml:space="preserve">variability across the cortex. (B) Left: The top ~5% of</w:t>
      </w:r>
      <w:r>
        <w:t xml:space="preserve"> </w:t>
      </w:r>
      <w:r>
        <w:t xml:space="preserve">outlier patches in HVs were selected and clustered; two exemplar ROIs</w:t>
      </w:r>
      <w:r>
        <w:t xml:space="preserve"> </w:t>
      </w:r>
      <w:r>
        <w:t xml:space="preserve">were selected in the anterior insula (green) and precentral regions</w:t>
      </w:r>
      <w:r>
        <w:t xml:space="preserve"> </w:t>
      </w:r>
      <w:r>
        <w:t xml:space="preserve">(blue).  Patches from the two exemplar ROIs as well as from FCDs are</w:t>
      </w:r>
      <w:r>
        <w:t xml:space="preserve"> </w:t>
      </w:r>
      <w:r>
        <w:t xml:space="preserve">global outliers compared to randomly selected cortical patches</w:t>
      </w:r>
      <w:r>
        <w:t xml:space="preserve"> </w:t>
      </w:r>
      <w:r>
        <w:t xml:space="preserve">(purple).  Right: The locations of patches within these two ROIs across</w:t>
      </w:r>
      <w:r>
        <w:t xml:space="preserve"> </w:t>
      </w:r>
      <w:r>
        <w:t xml:space="preserve">HVs and the average FCD center (red) is plotted in 2D using the primary</w:t>
      </w:r>
      <w:r>
        <w:t xml:space="preserve"> </w:t>
      </w:r>
      <w:r>
        <w:t xml:space="preserve">directions of the centers (larger dots) of each exemplar ROI as the</w:t>
      </w:r>
      <w:r>
        <w:t xml:space="preserve"> </w:t>
      </w:r>
      <w:r>
        <w:t xml:space="preserve">axes.  (C) Similarity maps are shown for each of our exemplar normal</w:t>
      </w:r>
      <w:r>
        <w:t xml:space="preserve"> </w:t>
      </w:r>
      <w:r>
        <w:t xml:space="preserve">cortical outlier ROIs, as well as for the first two components of the</w:t>
      </w:r>
      <w:r>
        <w:t xml:space="preserve"> </w:t>
      </w:r>
      <w:r>
        <w:t xml:space="preserve">average across FCDs.</w:t>
      </w:r>
      <w:r>
        <w:t xml:space="preserve"> </w:t>
      </w:r>
    </w:p>
    <w:p>
      <w:pPr>
        <w:pStyle w:val="Heading2"/>
      </w:pPr>
      <w:bookmarkStart w:id="49" w:name="section"/>
      <w:bookmarkEnd w:id="49"/>
    </w:p>
    <w:p>
      <w:pPr>
        <w:pStyle w:val="Heading2"/>
      </w:pPr>
      <w:bookmarkStart w:id="50" w:name="similarity-estimation-1"/>
      <w:bookmarkEnd w:id="50"/>
      <w:r>
        <w:t xml:space="preserve">Similarity Estimation</w:t>
      </w:r>
    </w:p>
    <w:p>
      <w:pPr>
        <w:pStyle w:val="FirstParagraph"/>
      </w:pPr>
      <w:r>
        <w:t xml:space="preserve">Next, we assessed the similarity in underlying features, or directions,</w:t>
      </w:r>
      <w:r>
        <w:t xml:space="preserve"> </w:t>
      </w:r>
      <w:r>
        <w:t xml:space="preserve">between FCDs and the normally outlying cortical regions.  The average</w:t>
      </w:r>
      <w:r>
        <w:t xml:space="preserve"> </w:t>
      </w:r>
      <w:r>
        <w:t xml:space="preserve">angle between the mean FCD and outlier region centers</w:t>
      </w:r>
      <w:r>
        <w:t xml:space="preserve"> </w:t>
      </w:r>
      <w:r>
        <w:t xml:space="preserve">was </w:t>
      </w:r>
      <m:oMath>
        <m:r>
          <m:t>81.01</m:t>
        </m:r>
        <m:r>
          <m:t>±</m:t>
        </m:r>
        <m:r>
          <m:t>23.30</m:t>
        </m:r>
      </m:oMath>
      <w:r>
        <w:rPr>
          <w:vertAlign w:val="superscript"/>
        </w:rPr>
        <w:t xml:space="preserve">o</w:t>
      </w:r>
      <w:r>
        <w:t xml:space="preserve"> (minimum:</w:t>
      </w:r>
      <w:r>
        <w:t xml:space="preserve"> </w:t>
      </w:r>
      <w:r>
        <w:t xml:space="preserve">38.56</w:t>
      </w:r>
      <w:r>
        <w:rPr>
          <w:vertAlign w:val="superscript"/>
        </w:rPr>
        <w:t xml:space="preserve">o</w:t>
      </w:r>
      <w:r>
        <w:t xml:space="preserve"> </w:t>
      </w:r>
      <w:r>
        <w:t xml:space="preserve">in the anterior parahippocampal gyrus, maximum:</w:t>
      </w:r>
      <w:r>
        <w:t xml:space="preserve"> </w:t>
      </w:r>
      <w:r>
        <w:t xml:space="preserve">123.16</w:t>
      </w:r>
      <w:r>
        <w:rPr>
          <w:vertAlign w:val="superscript"/>
        </w:rPr>
        <w:t xml:space="preserve">o</w:t>
      </w:r>
      <w:r>
        <w:t xml:space="preserve"> </w:t>
      </w:r>
      <w:r>
        <w:t xml:space="preserve">in the post-central gyrus).  The insula was</w:t>
      </w:r>
      <w:r>
        <w:t xml:space="preserve"> </w:t>
      </w:r>
      <w:r>
        <w:t xml:space="preserve">second closest in angle (42.2</w:t>
      </w:r>
      <w:r>
        <w:rPr>
          <w:vertAlign w:val="superscript"/>
        </w:rPr>
        <w:t xml:space="preserve">o</w:t>
      </w:r>
      <w:r>
        <w:t xml:space="preserve">), while the precentral</w:t>
      </w:r>
      <w:r>
        <w:t xml:space="preserve"> </w:t>
      </w:r>
      <w:r>
        <w:t xml:space="preserve">ROI was close to the average difference (80.3</w:t>
      </w:r>
      <w:r>
        <w:rPr>
          <w:vertAlign w:val="superscript"/>
        </w:rPr>
        <w:t xml:space="preserve">o</w:t>
      </w:r>
      <w:r>
        <w:t xml:space="preserve">)</w:t>
      </w:r>
      <w:r>
        <w:t xml:space="preserve"> </w:t>
      </w:r>
      <w:r>
        <w:t xml:space="preserve">(Figure 4b).  This is reflected in the similar spatial distributions of</w:t>
      </w:r>
      <w:r>
        <w:t xml:space="preserve"> </w:t>
      </w:r>
      <w:r>
        <w:t xml:space="preserve">the insula and FCD similarity maps, which clearly differ from that of</w:t>
      </w:r>
      <w:r>
        <w:t xml:space="preserve"> </w:t>
      </w:r>
      <w:r>
        <w:t xml:space="preserve">the precentral similarity map (Figure 4c).  This suggests that FCDs</w:t>
      </w:r>
      <w:r>
        <w:t xml:space="preserve"> </w:t>
      </w:r>
      <w:r>
        <w:t xml:space="preserve">appear similar in both degree of outlierness and underlying features to</w:t>
      </w:r>
      <w:r>
        <w:t xml:space="preserve"> </w:t>
      </w:r>
      <w:r>
        <w:t xml:space="preserve">some regions of atypical-appearing but normal cortex, such as the</w:t>
      </w:r>
      <w:r>
        <w:t xml:space="preserve"> </w:t>
      </w:r>
      <w:r>
        <w:t xml:space="preserve">anterior insula and some paralimbic regions.</w:t>
      </w:r>
    </w:p>
    <w:p>
      <w:pPr>
        <w:pStyle w:val="BodyText"/>
      </w:pPr>
      <w:r>
        <w:t xml:space="preserve">Next, we used cosine similarity (cos) to describe how similar patches</w:t>
      </w:r>
      <w:r>
        <w:t xml:space="preserve"> </w:t>
      </w:r>
      <w:r>
        <w:t xml:space="preserve">are to each other in their underlying relative combination of features</w:t>
      </w:r>
      <w:r>
        <w:t xml:space="preserve"> </w:t>
      </w:r>
      <w:r>
        <w:t xml:space="preserve">based on their location (Figure 5a).  We found that across HVs,</w:t>
      </w:r>
      <w:r>
        <w:t xml:space="preserve"> </w:t>
      </w:r>
      <w:r>
        <w:t xml:space="preserve">homotopic patches (in the same location on the cortical sheet) appeared</w:t>
      </w:r>
      <w:r>
        <w:t xml:space="preserve"> </w:t>
      </w:r>
      <w:r>
        <w:t xml:space="preserve">more similar than randomly selected patches (</w:t>
      </w:r>
      <m:oMath>
        <m:r>
          <m:t>c</m:t>
        </m:r>
        <m:r>
          <m:t>o</m:t>
        </m:r>
        <m:r>
          <m:t>s</m:t>
        </m:r>
        <m:r>
          <m:t>=</m:t>
        </m:r>
        <m:r>
          <m:t>0.45</m:t>
        </m:r>
        <m:r>
          <m:t>±</m:t>
        </m:r>
        <m:r>
          <m:t>0.28</m:t>
        </m:r>
      </m:oMath>
      <w:r>
        <w:t xml:space="preserve"> </w:t>
      </w:r>
      <w:r>
        <w:t xml:space="preserve">for</w:t>
      </w:r>
      <w:r>
        <w:t xml:space="preserve"> </w:t>
      </w:r>
      <w:r>
        <w:t xml:space="preserve">homotopic versus </w:t>
      </w:r>
      <m:oMath>
        <m:r>
          <m:t>c</m:t>
        </m:r>
        <m:r>
          <m:t>o</m:t>
        </m:r>
        <m:r>
          <m:t>s</m:t>
        </m:r>
        <m:r>
          <m:t>=</m:t>
        </m:r>
        <m:r>
          <m:t>0.00</m:t>
        </m:r>
        <m:r>
          <m:t>±</m:t>
        </m:r>
        <m:r>
          <m:t>0.29</m:t>
        </m:r>
      </m:oMath>
      <w:r>
        <w:t xml:space="preserve"> </w:t>
      </w:r>
      <w:r>
        <w:t xml:space="preserve">for heterotopic random</w:t>
      </w:r>
      <w:r>
        <w:t xml:space="preserve"> </w:t>
      </w:r>
      <w:r>
        <w:t xml:space="preserve">patches, </w:t>
      </w:r>
      <m:oMath>
        <m:r>
          <m:t>p</m:t>
        </m:r>
        <m:r>
          <m:t>&lt;</m:t>
        </m:r>
        <m:r>
          <m:t>0.001</m:t>
        </m:r>
      </m:oMath>
      <w:r>
        <w:t xml:space="preserve">, </w:t>
      </w:r>
      <m:oMath>
        <m:r>
          <m:t>d</m:t>
        </m:r>
        <m:r>
          <m:t>=</m:t>
        </m:r>
        <m:r>
          <m:t>1.57</m:t>
        </m:r>
      </m:oMath>
      <w:r>
        <w:t xml:space="preserve">).  Despite their</w:t>
      </w:r>
      <w:r>
        <w:t xml:space="preserve"> </w:t>
      </w:r>
      <w:r>
        <w:t xml:space="preserve">differing locations, FCD patches were more similar to each other in</w:t>
      </w:r>
      <w:r>
        <w:t xml:space="preserve"> </w:t>
      </w:r>
      <w:r>
        <w:t xml:space="preserve">their features (</w:t>
      </w:r>
      <m:oMath>
        <m:r>
          <m:t>c</m:t>
        </m:r>
        <m:r>
          <m:t>o</m:t>
        </m:r>
        <m:r>
          <m:t>s</m:t>
        </m:r>
        <m:r>
          <m:t>=</m:t>
        </m:r>
        <m:r>
          <m:t>0.29</m:t>
        </m:r>
        <m:r>
          <m:t>±</m:t>
        </m:r>
        <m:r>
          <m:t>0.29</m:t>
        </m:r>
      </m:oMath>
      <w:r>
        <w:t xml:space="preserve">) than to random HV cortical patches</w:t>
      </w:r>
      <w:r>
        <w:t xml:space="preserve"> </w:t>
      </w:r>
      <w:r>
        <w:t xml:space="preserve">(FCD vs heterotopic</w:t>
      </w:r>
      <w:r>
        <w:t xml:space="preserve"> </w:t>
      </w:r>
      <w:r>
        <w:t xml:space="preserve">patches </w:t>
      </w:r>
      <m:oMath>
        <m:r>
          <m:t>c</m:t>
        </m:r>
        <m:r>
          <m:t>o</m:t>
        </m:r>
        <m:r>
          <m:t>s</m:t>
        </m:r>
        <m:r>
          <m:t>=</m:t>
        </m:r>
        <m:r>
          <m:t>0.006</m:t>
        </m:r>
        <m:r>
          <m:t>±</m:t>
        </m:r>
        <m:r>
          <m:t>0.29</m:t>
        </m:r>
      </m:oMath>
      <w:r>
        <w:t xml:space="preserve">, </w:t>
      </w:r>
      <m:oMath>
        <m:r>
          <m:t>p</m:t>
        </m:r>
        <m:r>
          <m:t>&lt;</m:t>
        </m:r>
        <m:r>
          <m:t>0.001</m:t>
        </m:r>
      </m:oMath>
      <w:r>
        <w:t xml:space="preserve">, </w:t>
      </w:r>
      <m:oMath>
        <m:r>
          <m:t>d</m:t>
        </m:r>
        <m:r>
          <m:t>=</m:t>
        </m:r>
        <m:r>
          <m:t>0.97</m:t>
        </m:r>
      </m:oMath>
      <w:r>
        <w:t xml:space="preserve">), and</w:t>
      </w:r>
      <w:r>
        <w:t xml:space="preserve"> </w:t>
      </w:r>
      <w:r>
        <w:t xml:space="preserve">also appeared quite similar to homotopic patches in HVs (FCD vs</w:t>
      </w:r>
      <w:r>
        <w:t xml:space="preserve"> </w:t>
      </w:r>
      <w:r>
        <w:t xml:space="preserve">homotopic</w:t>
      </w:r>
      <w:r>
        <w:t xml:space="preserve"> </w:t>
      </w:r>
      <w:r>
        <w:t xml:space="preserve">patches </w:t>
      </w:r>
      <m:oMath>
        <m:r>
          <m:t>c</m:t>
        </m:r>
        <m:r>
          <m:t>o</m:t>
        </m:r>
        <m:r>
          <m:t>s</m:t>
        </m:r>
        <m:r>
          <m:t>=</m:t>
        </m:r>
        <m:r>
          <m:t>0.24</m:t>
        </m:r>
        <m:r>
          <m:t>±</m:t>
        </m:r>
        <m:r>
          <m:t>0.31</m:t>
        </m:r>
      </m:oMath>
      <w:r>
        <w:t xml:space="preserve">, </w:t>
      </w:r>
      <m:oMath>
        <m:r>
          <m:t>p</m:t>
        </m:r>
        <m:r>
          <m:t>=</m:t>
        </m:r>
        <m:r>
          <m:t>1.78</m:t>
        </m:r>
      </m:oMath>
      <w:r>
        <w:t xml:space="preserve">, </w:t>
      </w:r>
      <m:oMath>
        <m:r>
          <m:t>d</m:t>
        </m:r>
        <m:r>
          <m:t>=</m:t>
        </m:r>
        <m:r>
          <m:t>0.17</m:t>
        </m:r>
      </m:oMath>
      <w:r>
        <w:t xml:space="preserve">),</w:t>
      </w:r>
      <w:r>
        <w:t xml:space="preserve"> </w:t>
      </w:r>
      <w:r>
        <w:t xml:space="preserve">consistent with the fact that these often subtle lesions have a fairly</w:t>
      </w:r>
      <w:r>
        <w:t xml:space="preserve"> </w:t>
      </w:r>
      <w:r>
        <w:t xml:space="preserve">typical appearance for their given location. </w:t>
      </w:r>
    </w:p>
    <w:p>
      <w:pPr>
        <w:pStyle w:val="Heading2"/>
      </w:pPr>
      <w:bookmarkStart w:id="51" w:name="local-normalization-1"/>
      <w:bookmarkEnd w:id="51"/>
      <w:r>
        <w:t xml:space="preserve">Local Normalization</w:t>
      </w:r>
    </w:p>
    <w:p>
      <w:pPr>
        <w:pStyle w:val="FirstParagraph"/>
      </w:pPr>
      <w:r>
        <w:t xml:space="preserve">While FCDs can be found in nearly any cortical region, normal cortical</w:t>
      </w:r>
      <w:r>
        <w:t xml:space="preserve"> </w:t>
      </w:r>
      <w:r>
        <w:t xml:space="preserve">outlier regions by definition have fairly consistent spatial locations</w:t>
      </w:r>
      <w:r>
        <w:t xml:space="preserve"> </w:t>
      </w:r>
      <w:r>
        <w:t xml:space="preserve">across HVs.  Local normalization allows for detection of differences</w:t>
      </w:r>
      <w:r>
        <w:t xml:space="preserve"> </w:t>
      </w:r>
      <w:r>
        <w:t xml:space="preserve">from the expected appearance at any given cortical location.  Following</w:t>
      </w:r>
      <w:r>
        <w:t xml:space="preserve"> </w:t>
      </w:r>
      <w:r>
        <w:t xml:space="preserve">local normalization, as expected, we found that patches in the outlier</w:t>
      </w:r>
      <w:r>
        <w:t xml:space="preserve"> </w:t>
      </w:r>
      <w:r>
        <w:t xml:space="preserve">ROIs appeared more</w:t>
      </w:r>
      <w:r>
        <w:t xml:space="preserve"> </w:t>
      </w:r>
      <w:r>
        <w:t xml:space="preserve">“</w:t>
      </w:r>
      <w:r>
        <w:t xml:space="preserve">typical</w:t>
      </w:r>
      <w:r>
        <w:t xml:space="preserve">”</w:t>
      </w:r>
      <w:r>
        <w:t xml:space="preserve"> </w:t>
      </w:r>
      <w:r>
        <w:t xml:space="preserve">for their location, now with a similar</w:t>
      </w:r>
      <w:r>
        <w:t xml:space="preserve"> </w:t>
      </w:r>
      <w:r>
        <w:t xml:space="preserve">Mahalanobis distance to randomly selected cortical patches (random</w:t>
      </w:r>
      <w:r>
        <w:t xml:space="preserve"> </w:t>
      </w:r>
      <w:r>
        <w:t xml:space="preserve">cortex MD = </w:t>
      </w:r>
      <m:oMath>
        <m:r>
          <m:t>1.86</m:t>
        </m:r>
        <m:r>
          <m:t>±</m:t>
        </m:r>
        <m:r>
          <m:t>0.52</m:t>
        </m:r>
      </m:oMath>
      <w:r>
        <w:t xml:space="preserve"> </w:t>
      </w:r>
      <w:r>
        <w:t xml:space="preserve">versus precentral MD</w:t>
      </w:r>
      <w:r>
        <w:t xml:space="preserve"> </w:t>
      </w:r>
      <w:r>
        <w:t xml:space="preserve">= </w:t>
      </w:r>
      <m:oMath>
        <m:r>
          <m:t>1.92</m:t>
        </m:r>
        <m:r>
          <m:t>±</m:t>
        </m:r>
        <m:r>
          <m:t>0.52</m:t>
        </m:r>
      </m:oMath>
      <w:r>
        <w:t xml:space="preserve">, </w:t>
      </w:r>
      <m:oMath>
        <m:r>
          <m:t>d</m:t>
        </m:r>
        <m:r>
          <m:t>=</m:t>
        </m:r>
        <m:r>
          <m:t>0.10</m:t>
        </m:r>
      </m:oMath>
      <w:r>
        <w:t xml:space="preserve">, and insula MD</w:t>
      </w:r>
      <w:r>
        <w:t xml:space="preserve"> </w:t>
      </w:r>
      <w:r>
        <w:t xml:space="preserve">= </w:t>
      </w:r>
      <m:oMath>
        <m:r>
          <m:t>1.59</m:t>
        </m:r>
        <m:r>
          <m:t>±</m:t>
        </m:r>
        <m:r>
          <m:t>0.36</m:t>
        </m:r>
      </m:oMath>
      <w:r>
        <w:t xml:space="preserve">, </w:t>
      </w:r>
      <m:oMath>
        <m:r>
          <m:t>d</m:t>
        </m:r>
        <m:r>
          <m:t>=</m:t>
        </m:r>
        <m:r>
          <m:t>0.63</m:t>
        </m:r>
      </m:oMath>
      <w:r>
        <w:t xml:space="preserve">).  In contrast, following</w:t>
      </w:r>
      <w:r>
        <w:t xml:space="preserve"> </w:t>
      </w:r>
      <w:r>
        <w:t xml:space="preserve">local normalization, FCDs remained as significant outliers (MD</w:t>
      </w:r>
      <w:r>
        <w:t xml:space="preserve"> </w:t>
      </w:r>
      <w:r>
        <w:t xml:space="preserve">= </w:t>
      </w:r>
      <m:oMath>
        <m:r>
          <m:t>3.55</m:t>
        </m:r>
        <m:r>
          <m:t>±</m:t>
        </m:r>
        <m:r>
          <m:t>0.81</m:t>
        </m:r>
      </m:oMath>
      <w:r>
        <w:t xml:space="preserve">) compared to both normal cortex and the previously</w:t>
      </w:r>
      <w:r>
        <w:t xml:space="preserve"> </w:t>
      </w:r>
      <w:r>
        <w:t xml:space="preserve">outlying ROIs (versus normal cortex  </w:t>
      </w:r>
      <m:oMath>
        <m:r>
          <m:t>d</m:t>
        </m:r>
        <m:r>
          <m:t>=</m:t>
        </m:r>
        <m:r>
          <m:t>2.81</m:t>
        </m:r>
      </m:oMath>
      <w:r>
        <w:t xml:space="preserve">, </w:t>
      </w:r>
      <w:r>
        <w:t xml:space="preserve"> </w:t>
      </w:r>
      <w:r>
        <w:t xml:space="preserve">precentral </w:t>
      </w:r>
      <m:oMath>
        <m:r>
          <m:t>d</m:t>
        </m:r>
        <m:r>
          <m:t>=</m:t>
        </m:r>
        <m:r>
          <m:t>2.78</m:t>
        </m:r>
      </m:oMath>
      <w:r>
        <w:t xml:space="preserve">, insula </w:t>
      </w:r>
      <m:oMath>
        <m:r>
          <m:t>d</m:t>
        </m:r>
        <m:r>
          <m:t>=</m:t>
        </m:r>
        <m:r>
          <m:t>4.09</m:t>
        </m:r>
      </m:oMath>
      <w:r>
        <w:t xml:space="preserve">) (Figure</w:t>
      </w:r>
      <w:r>
        <w:t xml:space="preserve"> </w:t>
      </w:r>
      <w:r>
        <w:t xml:space="preserve">5a).  Cosine similarity between FCD patches also became significantly</w:t>
      </w:r>
      <w:r>
        <w:t xml:space="preserve"> </w:t>
      </w:r>
      <w:r>
        <w:t xml:space="preserve">higher following local normalization (</w:t>
      </w:r>
      <m:oMath>
        <m:r>
          <m:t>0.40</m:t>
        </m:r>
        <m:r>
          <m:t>±</m:t>
        </m:r>
        <m:r>
          <m:t>0.26</m:t>
        </m:r>
      </m:oMath>
      <w:r>
        <w:t xml:space="preserve">) compared to</w:t>
      </w:r>
      <w:r>
        <w:t xml:space="preserve"> </w:t>
      </w:r>
      <w:r>
        <w:t xml:space="preserve">non-lesional patches at any location (to homotopic</w:t>
      </w:r>
      <w:r>
        <w:t xml:space="preserve"> </w:t>
      </w:r>
      <w:r>
        <w:t xml:space="preserve">patches </w:t>
      </w:r>
      <m:oMath>
        <m:r>
          <m:t>c</m:t>
        </m:r>
        <m:r>
          <m:t>o</m:t>
        </m:r>
        <m:r>
          <m:t>s</m:t>
        </m:r>
        <m:r>
          <m:t>=</m:t>
        </m:r>
        <m:r>
          <m:t>0.00</m:t>
        </m:r>
        <m:r>
          <m:t>±</m:t>
        </m:r>
        <m:r>
          <m:t>0.30</m:t>
        </m:r>
      </m:oMath>
      <w:r>
        <w:t xml:space="preserve">, </w:t>
      </w:r>
      <m:oMath>
        <m:r>
          <m:t>p</m:t>
        </m:r>
        <m:r>
          <m:t>&lt;</m:t>
        </m:r>
        <m:r>
          <m:t>0.001</m:t>
        </m:r>
      </m:oMath>
      <w:r>
        <w:t xml:space="preserve">, </w:t>
      </w:r>
      <m:oMath>
        <m:r>
          <m:t>d</m:t>
        </m:r>
        <m:r>
          <m:t>=</m:t>
        </m:r>
        <m:r>
          <m:t>1.40</m:t>
        </m:r>
      </m:oMath>
      <w:r>
        <w:t xml:space="preserve">,</w:t>
      </w:r>
      <w:r>
        <w:t xml:space="preserve"> </w:t>
      </w:r>
      <w:r>
        <w:t xml:space="preserve">and to heterotopic</w:t>
      </w:r>
      <w:r>
        <w:t xml:space="preserve"> </w:t>
      </w:r>
      <w:r>
        <w:t xml:space="preserve">patches </w:t>
      </w:r>
      <m:oMath>
        <m:r>
          <m:t>c</m:t>
        </m:r>
        <m:r>
          <m:t>o</m:t>
        </m:r>
        <m:r>
          <m:t>s</m:t>
        </m:r>
        <m:r>
          <m:t>=</m:t>
        </m:r>
        <m:r>
          <m:t>0.00</m:t>
        </m:r>
        <m:r>
          <m:t>±</m:t>
        </m:r>
        <m:r>
          <m:t>0.28</m:t>
        </m:r>
      </m:oMath>
      <w:r>
        <w:t xml:space="preserve">, </w:t>
      </w:r>
      <m:oMath>
        <m:r>
          <m:t>p</m:t>
        </m:r>
        <m:r>
          <m:t>&lt;</m:t>
        </m:r>
        <m:r>
          <m:t>0.001</m:t>
        </m:r>
      </m:oMath>
      <w:r>
        <w:t xml:space="preserve">, </w:t>
      </w:r>
      <m:oMath>
        <m:r>
          <m:t>d</m:t>
        </m:r>
        <m:r>
          <m:t>=</m:t>
        </m:r>
        <m:r>
          <m:t>1.44</m:t>
        </m:r>
      </m:oMath>
      <w:r>
        <w:t xml:space="preserve">,</w:t>
      </w:r>
      <w:r>
        <w:t xml:space="preserve"> </w:t>
      </w:r>
      <w:r>
        <w:t xml:space="preserve">with no difference between the two, </w:t>
      </w:r>
      <m:oMath>
        <m:r>
          <m:t>p</m:t>
        </m:r>
        <m:r>
          <m:t>=</m:t>
        </m:r>
        <m:r>
          <m:t>0.54</m:t>
        </m:r>
      </m:oMath>
      <w:r>
        <w:t xml:space="preserve">, ) (Figure 5a,</w:t>
      </w:r>
      <w:r>
        <w:t xml:space="preserve"> </w:t>
      </w:r>
      <w:r>
        <w:t xml:space="preserve">left).  Local normalization, therefore, not only aids with global</w:t>
      </w:r>
      <w:r>
        <w:t xml:space="preserve"> </w:t>
      </w:r>
      <w:r>
        <w:t xml:space="preserve">outlier detection by decreasing the</w:t>
      </w:r>
      <w:r>
        <w:t xml:space="preserve"> </w:t>
      </w:r>
      <w:r>
        <w:t xml:space="preserve">“</w:t>
      </w:r>
      <w:r>
        <w:t xml:space="preserve">outlierness</w:t>
      </w:r>
      <w:r>
        <w:t xml:space="preserve">”</w:t>
      </w:r>
      <w:r>
        <w:t xml:space="preserve"> </w:t>
      </w:r>
      <w:r>
        <w:t xml:space="preserve">of normal cortical</w:t>
      </w:r>
      <w:r>
        <w:t xml:space="preserve"> </w:t>
      </w:r>
      <w:r>
        <w:t xml:space="preserve">regions, but also local outlier detection, by further distancing FCDs</w:t>
      </w:r>
      <w:r>
        <w:t xml:space="preserve"> </w:t>
      </w:r>
      <w:r>
        <w:t xml:space="preserve">from the expected appearance at their location in the cortical sheet.</w:t>
      </w:r>
    </w:p>
    <w:p>
      <w:pPr>
        <w:pStyle w:val="BodyText"/>
      </w:pPr>
      <w:r>
        <w:br w:type="textWrapping"/>
      </w:r>
    </w:p>
    <w:p>
      <w:pPr>
        <w:pStyle w:val="FigureWithCaption"/>
      </w:pPr>
      <w:r>
        <w:drawing>
          <wp:inline>
            <wp:extent cx="5334000" cy="11860935"/>
            <wp:effectExtent b="0" l="0" r="0" t="0"/>
            <wp:docPr descr="Local Normalization: (A) (Left) Prior to local normalization,  1000 pairs of patches in homotopic (hom) cortical locations across HVs have increased cosine similarity compared to 1000 pairs of randomly selected heterotopic (het) patches.  Patches across FCD lesions (1000 pairs) (FCD) have increased cosine similarity compared to randomly selected heterotopic patches in HVs.  FCD patches compared to homotopic patches are more similar to each other than to randomly selected patches in HVs (FCD-Het vs FCD-Hom). Following local normalization, cosine similarity between pairs of homotopic and heterotopic patches in HVs, as well as between FCD patches and HV patches in any location are similar and are centered around 0, while cosine similarity between FCD patches remains elevated. (B) Using the first two SVD components from the FCD patches as the axes, we plotted the location of: 1) each FCD patch (light red small dots); 2) the center of each individual FCD lesion (larger dots: MRI+ dark red, MRI- light red); and 3) the overall average FCD center across all subjects (black) compared to the insular ROI center (green), precentral ROI center (blue), and 1000 randomly sampled HV patches (purple). Following local normalization, the distribution of random cortical patches can be seen to become smaller, the insula and premotor ROI centers move to the center, and the FCD patches remain as outliers. (C)  The mean feature vector for a single exemplar FCD lesion (red) is plotted along with homotopic patches in 30 HVs (purple).  FCD similarity is measured by projecting each patch onto the FCD unit vector (light red arrow). The same exemplar FCD and its homotopic patches are shown after local normalization; the homotopic patch locations move to be centered around the origin and the FCD vector moves farther from the center, with a higher value when projected onto the mean FCD direction. (D) FCD similarity map is shown for the patient in (C). The frontal lesion appears similar before and after local normalization, while outlying regions such as the anterior insula no longer appear similar after local normalization.  " title="" id="1" name="Picture"/>
            <a:graphic>
              <a:graphicData uri="http://schemas.openxmlformats.org/drawingml/2006/picture">
                <pic:pic>
                  <pic:nvPicPr>
                    <pic:cNvPr descr="figures/Snyder-Fig41/Snyder-Fig5.png" id="0" name="Picture"/>
                    <pic:cNvPicPr>
                      <a:picLocks noChangeArrowheads="1" noChangeAspect="1"/>
                    </pic:cNvPicPr>
                  </pic:nvPicPr>
                  <pic:blipFill>
                    <a:blip r:embed="rId52"/>
                    <a:stretch>
                      <a:fillRect/>
                    </a:stretch>
                  </pic:blipFill>
                  <pic:spPr bwMode="auto">
                    <a:xfrm>
                      <a:off x="0" y="0"/>
                      <a:ext cx="5334000" cy="11860935"/>
                    </a:xfrm>
                    <a:prstGeom prst="rect">
                      <a:avLst/>
                    </a:prstGeom>
                    <a:noFill/>
                    <a:ln w="9525">
                      <a:noFill/>
                      <a:headEnd/>
                      <a:tailEnd/>
                    </a:ln>
                  </pic:spPr>
                </pic:pic>
              </a:graphicData>
            </a:graphic>
          </wp:inline>
        </w:drawing>
      </w:r>
    </w:p>
    <w:p>
      <w:pPr>
        <w:pStyle w:val="ImageCaption"/>
      </w:pPr>
      <w:r>
        <w:t xml:space="preserve">Local Normalization: (A) (Left) Prior to local normalization,  1000</w:t>
      </w:r>
      <w:r>
        <w:t xml:space="preserve"> </w:t>
      </w:r>
      <w:r>
        <w:t xml:space="preserve">pairs of patches in homotopic (hom) cortical locations across HVs have</w:t>
      </w:r>
      <w:r>
        <w:t xml:space="preserve"> </w:t>
      </w:r>
      <w:r>
        <w:t xml:space="preserve">increased cosine similarity compared to 1000 pairs of randomly selected</w:t>
      </w:r>
      <w:r>
        <w:t xml:space="preserve"> </w:t>
      </w:r>
      <w:r>
        <w:t xml:space="preserve">heterotopic (het) patches.  Patches across FCD lesions (1000 pairs)</w:t>
      </w:r>
      <w:r>
        <w:t xml:space="preserve"> </w:t>
      </w:r>
      <w:r>
        <w:t xml:space="preserve">(FCD) have increased cosine similarity compared to randomly selected</w:t>
      </w:r>
      <w:r>
        <w:t xml:space="preserve"> </w:t>
      </w:r>
      <w:r>
        <w:t xml:space="preserve">heterotopic patches in HVs.  FCD patches compared to homotopic patches</w:t>
      </w:r>
      <w:r>
        <w:t xml:space="preserve"> </w:t>
      </w:r>
      <w:r>
        <w:t xml:space="preserve">are more similar to each other than to randomly selected patches in HVs</w:t>
      </w:r>
      <w:r>
        <w:t xml:space="preserve"> </w:t>
      </w:r>
      <w:r>
        <w:t xml:space="preserve">(FCD-Het vs FCD-Hom). Following local normalization, cosine similarity</w:t>
      </w:r>
      <w:r>
        <w:t xml:space="preserve"> </w:t>
      </w:r>
      <w:r>
        <w:t xml:space="preserve">between pairs of homotopic and heterotopic patches in HVs, as well as</w:t>
      </w:r>
      <w:r>
        <w:t xml:space="preserve"> </w:t>
      </w:r>
      <w:r>
        <w:t xml:space="preserve">between FCD patches and HV patches in any location are similar and are</w:t>
      </w:r>
      <w:r>
        <w:t xml:space="preserve"> </w:t>
      </w:r>
      <w:r>
        <w:t xml:space="preserve">centered around 0, while cosine similarity between FCD patches remains</w:t>
      </w:r>
      <w:r>
        <w:t xml:space="preserve"> </w:t>
      </w:r>
      <w:r>
        <w:t xml:space="preserve">elevated. (B) Using the first two SVD components from the FCD patches as</w:t>
      </w:r>
      <w:r>
        <w:t xml:space="preserve"> </w:t>
      </w:r>
      <w:r>
        <w:t xml:space="preserve">the axes, we plotted the location of: 1) each FCD patch (light red small</w:t>
      </w:r>
      <w:r>
        <w:t xml:space="preserve"> </w:t>
      </w:r>
      <w:r>
        <w:t xml:space="preserve">dots); 2) the center of each individual FCD lesion (larger dots: MRI+</w:t>
      </w:r>
      <w:r>
        <w:t xml:space="preserve"> </w:t>
      </w:r>
      <w:r>
        <w:t xml:space="preserve">dark red, MRI- light red); and 3) the overall average FCD center across</w:t>
      </w:r>
      <w:r>
        <w:t xml:space="preserve"> </w:t>
      </w:r>
      <w:r>
        <w:t xml:space="preserve">all subjects (black) compared to the insular ROI center (green),</w:t>
      </w:r>
      <w:r>
        <w:t xml:space="preserve"> </w:t>
      </w:r>
      <w:r>
        <w:t xml:space="preserve">precentral ROI center (blue), and 1000 randomly sampled HV patches</w:t>
      </w:r>
      <w:r>
        <w:t xml:space="preserve"> </w:t>
      </w:r>
      <w:r>
        <w:t xml:space="preserve">(purple). Following local normalization, the distribution of random</w:t>
      </w:r>
      <w:r>
        <w:t xml:space="preserve"> </w:t>
      </w:r>
      <w:r>
        <w:t xml:space="preserve">cortical patches can be seen to become smaller, the insula and premotor</w:t>
      </w:r>
      <w:r>
        <w:t xml:space="preserve"> </w:t>
      </w:r>
      <w:r>
        <w:t xml:space="preserve">ROI centers move to the center, and the FCD patches remain as outliers.</w:t>
      </w:r>
      <w:r>
        <w:t xml:space="preserve"> </w:t>
      </w:r>
      <w:r>
        <w:t xml:space="preserve">(C)  The mean feature vector for a single exemplar FCD lesion (red) is</w:t>
      </w:r>
      <w:r>
        <w:t xml:space="preserve"> </w:t>
      </w:r>
      <w:r>
        <w:t xml:space="preserve">plotted along with homotopic patches in 30 HVs (purple).  FCD similarity</w:t>
      </w:r>
      <w:r>
        <w:t xml:space="preserve"> </w:t>
      </w:r>
      <w:r>
        <w:t xml:space="preserve">is measured by projecting each patch onto the FCD unit vector (light red</w:t>
      </w:r>
      <w:r>
        <w:t xml:space="preserve"> </w:t>
      </w:r>
      <w:r>
        <w:t xml:space="preserve">arrow). The same exemplar FCD and its homotopic patches are shown after</w:t>
      </w:r>
      <w:r>
        <w:t xml:space="preserve"> </w:t>
      </w:r>
      <w:r>
        <w:t xml:space="preserve">local normalization; the homotopic patch locations move to be centered</w:t>
      </w:r>
      <w:r>
        <w:t xml:space="preserve"> </w:t>
      </w:r>
      <w:r>
        <w:t xml:space="preserve">around the origin and the FCD vector moves farther from the center, with</w:t>
      </w:r>
      <w:r>
        <w:t xml:space="preserve"> </w:t>
      </w:r>
      <w:r>
        <w:t xml:space="preserve">a higher value when projected onto the mean FCD direction. (D) FCD</w:t>
      </w:r>
      <w:r>
        <w:t xml:space="preserve"> </w:t>
      </w:r>
      <w:r>
        <w:t xml:space="preserve">similarity map is shown for the patient in (C). The frontal lesion</w:t>
      </w:r>
      <w:r>
        <w:t xml:space="preserve"> </w:t>
      </w:r>
      <w:r>
        <w:t xml:space="preserve">appears similar before and after local normalization, while outlying</w:t>
      </w:r>
      <w:r>
        <w:t xml:space="preserve"> </w:t>
      </w:r>
      <w:r>
        <w:t xml:space="preserve">regions such as the anterior insula no longer appear similar after local</w:t>
      </w:r>
      <w:r>
        <w:t xml:space="preserve"> </w:t>
      </w:r>
      <w:r>
        <w:t xml:space="preserve">normalization. </w:t>
      </w:r>
      <w:r>
        <w:t xml:space="preserve"> </w:t>
      </w:r>
    </w:p>
    <w:p>
      <w:pPr>
        <w:pStyle w:val="Heading2"/>
      </w:pPr>
      <w:bookmarkStart w:id="53" w:name="section-1"/>
      <w:bookmarkEnd w:id="53"/>
    </w:p>
    <w:p>
      <w:pPr>
        <w:pStyle w:val="Heading2"/>
      </w:pPr>
      <w:bookmarkStart w:id="54" w:name="automated-fcd-detection-1"/>
      <w:bookmarkEnd w:id="54"/>
      <w:r>
        <w:t xml:space="preserve">Automated FCD Detection</w:t>
      </w:r>
    </w:p>
    <w:p>
      <w:pPr>
        <w:pStyle w:val="FirstParagraph"/>
      </w:pPr>
      <w:r>
        <w:t xml:space="preserve">Our automated FCD detection method is based on the post-normalization</w:t>
      </w:r>
      <w:r>
        <w:t xml:space="preserve"> </w:t>
      </w:r>
      <w:r>
        <w:t xml:space="preserve">FCD similarity maps, in which the mean feature vector for every cortical</w:t>
      </w:r>
      <w:r>
        <w:t xml:space="preserve"> </w:t>
      </w:r>
      <w:r>
        <w:t xml:space="preserve">patch is projected onto the FCD average unit vector (Figure 5c and d). </w:t>
      </w:r>
      <w:r>
        <w:t xml:space="preserve"> </w:t>
      </w:r>
      <w:r>
        <w:t xml:space="preserve">The top 1% of patches were identified in each subject; clusters with</w:t>
      </w:r>
      <w:r>
        <w:t xml:space="preserve"> </w:t>
      </w:r>
      <w:r>
        <w:t xml:space="preserve">five or more adjacent remaining vertices were retained.  The final</w:t>
      </w:r>
      <w:r>
        <w:t xml:space="preserve"> </w:t>
      </w:r>
      <w:r>
        <w:t xml:space="preserve">detection threshold was selected based on the optimal trade-off between</w:t>
      </w:r>
      <w:r>
        <w:t xml:space="preserve"> </w:t>
      </w:r>
      <w:r>
        <w:t xml:space="preserve">sensitivity and specificity.  We initially evaluated the 11 MRI+</w:t>
      </w:r>
      <w:r>
        <w:t xml:space="preserve"> </w:t>
      </w:r>
      <w:r>
        <w:t xml:space="preserve">patients (five  initially MRI-) included in the leave-one-out analysis,</w:t>
      </w:r>
      <w:r>
        <w:t xml:space="preserve"> </w:t>
      </w:r>
      <w:r>
        <w:t xml:space="preserve">resulting in an AUC of 0.91.  At the optimal threshold determined from</w:t>
      </w:r>
      <w:r>
        <w:t xml:space="preserve"> </w:t>
      </w:r>
      <w:r>
        <w:t xml:space="preserve">this analysis, our classifier correctly identified the lesions in 11/11</w:t>
      </w:r>
      <w:r>
        <w:t xml:space="preserve"> </w:t>
      </w:r>
      <w:r>
        <w:t xml:space="preserve">MRI+ patients (100% sensitivity) and 12/15  patients overall (80%</w:t>
      </w:r>
      <w:r>
        <w:t xml:space="preserve"> </w:t>
      </w:r>
      <w:r>
        <w:t xml:space="preserve">sensitivity).  Of the three patients without detected lesions, one had a</w:t>
      </w:r>
      <w:r>
        <w:t xml:space="preserve"> </w:t>
      </w:r>
      <w:r>
        <w:t xml:space="preserve">true positive (TP) lesion that did not reach the threshold; the others</w:t>
      </w:r>
      <w:r>
        <w:t xml:space="preserve"> </w:t>
      </w:r>
      <w:r>
        <w:t xml:space="preserve">had no detected clusters that overlapped with their resection masks.  Of</w:t>
      </w:r>
      <w:r>
        <w:t xml:space="preserve"> </w:t>
      </w:r>
      <w:r>
        <w:t xml:space="preserve">13 patients with TP clusters, the known FCD had the highest mean cluster</w:t>
      </w:r>
      <w:r>
        <w:t xml:space="preserve"> </w:t>
      </w:r>
      <w:r>
        <w:t xml:space="preserve">weight in 11, with 1-3 clusters detected in each patient.  One to three</w:t>
      </w:r>
      <w:r>
        <w:t xml:space="preserve"> </w:t>
      </w:r>
      <w:r>
        <w:t xml:space="preserve">presumably false positive clusters were identified in 9/30 HVs (70%</w:t>
      </w:r>
      <w:r>
        <w:t xml:space="preserve"> </w:t>
      </w:r>
      <w:r>
        <w:t xml:space="preserve">specificity).  Table 2 summarizes the results individually for each</w:t>
      </w:r>
      <w:r>
        <w:t xml:space="preserve"> </w:t>
      </w:r>
      <w:r>
        <w:t xml:space="preserve">patient; data for two exemplar patients are shown in Figure 6.</w:t>
      </w:r>
    </w:p>
    <w:p>
      <w:pPr>
        <w:pStyle w:val="FigureWithCaption"/>
      </w:pPr>
      <w:r>
        <w:drawing>
          <wp:inline>
            <wp:extent cx="2553591" cy="3880848"/>
            <wp:effectExtent b="0" l="0" r="0" t="0"/>
            <wp:docPr descr="Individual Patient Examples.  Results for two exemplar patients: structural MRI (FL: FLAIR image, T1po: post-operative T1) (left), location of FCD patches before and after local normalization (average vector for that patient’s lesion: larger white dot and red arrow, patches within that patient’s lesion: brighter red, patches from other FCD lesions: light red, randomly selected normal cortical patches: purple) (top right), FCD similarity maps before and after local normalization (middle right), and manually drawn lesion mask and automated FCD detection results (bottom right). " title="" id="1" name="Picture"/>
            <a:graphic>
              <a:graphicData uri="http://schemas.openxmlformats.org/drawingml/2006/picture">
                <pic:pic>
                  <pic:nvPicPr>
                    <pic:cNvPr descr="figures/Snyder-Fig5-lowres/Snyder-Fig5-lowres.png" id="0" name="Picture"/>
                    <pic:cNvPicPr>
                      <a:picLocks noChangeArrowheads="1" noChangeAspect="1"/>
                    </pic:cNvPicPr>
                  </pic:nvPicPr>
                  <pic:blipFill>
                    <a:blip r:embed="rId55"/>
                    <a:stretch>
                      <a:fillRect/>
                    </a:stretch>
                  </pic:blipFill>
                  <pic:spPr bwMode="auto">
                    <a:xfrm>
                      <a:off x="0" y="0"/>
                      <a:ext cx="2553591" cy="3880848"/>
                    </a:xfrm>
                    <a:prstGeom prst="rect">
                      <a:avLst/>
                    </a:prstGeom>
                    <a:noFill/>
                    <a:ln w="9525">
                      <a:noFill/>
                      <a:headEnd/>
                      <a:tailEnd/>
                    </a:ln>
                  </pic:spPr>
                </pic:pic>
              </a:graphicData>
            </a:graphic>
          </wp:inline>
        </w:drawing>
      </w:r>
    </w:p>
    <w:p>
      <w:pPr>
        <w:pStyle w:val="ImageCaption"/>
      </w:pPr>
      <w:r>
        <w:t xml:space="preserve">Individual Patient Examples.  Results for two exemplar patients:</w:t>
      </w:r>
      <w:r>
        <w:t xml:space="preserve"> </w:t>
      </w:r>
      <w:r>
        <w:t xml:space="preserve">structural MRI (FL: FLAIR image, T1po: post-operative T1) (left),</w:t>
      </w:r>
      <w:r>
        <w:t xml:space="preserve"> </w:t>
      </w:r>
      <w:r>
        <w:t xml:space="preserve">location of FCD patches before and after local normalization (average</w:t>
      </w:r>
      <w:r>
        <w:t xml:space="preserve"> </w:t>
      </w:r>
      <w:r>
        <w:t xml:space="preserve">vector for that patient’s lesion: larger white dot and red arrow,</w:t>
      </w:r>
      <w:r>
        <w:t xml:space="preserve"> </w:t>
      </w:r>
      <w:r>
        <w:t xml:space="preserve">patches within that patient’s lesion: brighter red, patches from other</w:t>
      </w:r>
      <w:r>
        <w:t xml:space="preserve"> </w:t>
      </w:r>
      <w:r>
        <w:t xml:space="preserve">FCD lesions: light red, randomly selected normal cortical patches:</w:t>
      </w:r>
      <w:r>
        <w:t xml:space="preserve"> </w:t>
      </w:r>
      <w:r>
        <w:t xml:space="preserve">purple) (top right), FCD similarity maps before and after local</w:t>
      </w:r>
      <w:r>
        <w:t xml:space="preserve"> </w:t>
      </w:r>
      <w:r>
        <w:t xml:space="preserve">normalization (middle right), and manually drawn lesion mask and</w:t>
      </w:r>
      <w:r>
        <w:t xml:space="preserve"> </w:t>
      </w:r>
      <w:r>
        <w:t xml:space="preserve">automated FCD detection results (bottom right).</w:t>
      </w:r>
      <w:r>
        <w:t xml:space="preserve"> </w:t>
      </w:r>
    </w:p>
    <w:p>
      <w:pPr>
        <w:pStyle w:val="TableCaption"/>
      </w:pPr>
      <w:r>
        <w:t xml:space="preserve">Patient Results.  Lesion lobe and pathological diagnosis are repeated as</w:t>
      </w:r>
      <w:r>
        <w:t xml:space="preserve"> </w:t>
      </w:r>
      <w:r>
        <w:t xml:space="preserve">in Table 1.  MRI detection by visual inspection is reported both</w:t>
      </w:r>
      <w:r>
        <w:t xml:space="preserve"> </w:t>
      </w:r>
      <w:r>
        <w:t xml:space="preserve">according to the initial radiological report and by retrospective</w:t>
      </w:r>
      <w:r>
        <w:t xml:space="preserve"> </w:t>
      </w:r>
      <w:r>
        <w:t xml:space="preserve">evaluation based on other imaging and invasive recording results.</w:t>
      </w:r>
      <w:r>
        <w:t xml:space="preserve"> </w:t>
      </w:r>
      <w:r>
        <w:t xml:space="preserve">Automated detection was positive (+) if the mean FCD likelihood across</w:t>
      </w:r>
      <w:r>
        <w:t xml:space="preserve"> </w:t>
      </w:r>
      <w:r>
        <w:t xml:space="preserve">patches in the cluster was above the identified optimal threshold.  Mean</w:t>
      </w:r>
      <w:r>
        <w:t xml:space="preserve"> </w:t>
      </w:r>
      <w:r>
        <w:t xml:space="preserve">FCD similarity is reported for each true positive cluster. For each</w:t>
      </w:r>
      <w:r>
        <w:t xml:space="preserve"> </w:t>
      </w:r>
      <w:r>
        <w:t xml:space="preserve">patient, the rank of each true positive cluster is reported (based on</w:t>
      </w:r>
      <w:r>
        <w:t xml:space="preserve"> </w:t>
      </w:r>
      <w:r>
        <w:t xml:space="preserve">the cluster’s mean FCD similarity), as well as the total number of</w:t>
      </w:r>
      <w:r>
        <w:t xml:space="preserve"> </w:t>
      </w:r>
      <w:r>
        <w:t xml:space="preserve">clusters detected above the optimal threshold. </w:t>
      </w:r>
      <w:r>
        <w:t xml:space="preserve"> </w:t>
      </w:r>
    </w:p>
    <w:tbl>
      <w:tblPr>
        <w:tblStyle w:val="TableNormal"/>
        <w:tblW w:type="pct" w:w="0.0"/>
        <w:tblLook/>
        <w:tblCaption w:val="Patient Results.  Lesion lobe and pathological diagnosis are repeated as in Table 1.  MRI detection by visual inspection is reported both according to the initial radiological report and by retrospective evaluation based on other imaging and invasive recording results. Automated detection was positive (+) if the mean FCD likelihood across patches in the cluster was above the identified optimal threshold.  Mean FCD similarity is reported for each true positive cluster. For each patient, the rank of each true positive cluster is reported (based on the cluster’s mean FCD similarity), as well as the total number of clusters detected above the optimal threshold.  "/>
      </w:tblPr>
      <w:tblGrid/>
      <w:tr>
        <w:tc>
          <w:p>
            <w:pPr>
              <w:pStyle w:val="Compact"/>
              <w:jc w:val="center"/>
            </w:pPr>
            <w:r>
              <w:t xml:space="preserve">Patient #</w:t>
            </w:r>
          </w:p>
        </w:tc>
        <w:tc>
          <w:p>
            <w:pPr>
              <w:pStyle w:val="Compact"/>
              <w:jc w:val="center"/>
            </w:pPr>
            <w:r>
              <w:t xml:space="preserve">Lesion lobe</w:t>
            </w:r>
          </w:p>
        </w:tc>
        <w:tc>
          <w:p>
            <w:pPr>
              <w:pStyle w:val="Compact"/>
              <w:jc w:val="center"/>
            </w:pPr>
            <w:r>
              <w:t xml:space="preserve">Pathological diagnosis</w:t>
            </w:r>
          </w:p>
        </w:tc>
        <w:tc>
          <w:p>
            <w:pPr>
              <w:pStyle w:val="Compact"/>
              <w:jc w:val="center"/>
            </w:pPr>
            <w:r>
              <w:t xml:space="preserve">Radiology</w:t>
            </w:r>
          </w:p>
        </w:tc>
        <w:tc>
          <w:p>
            <w:pPr>
              <w:pStyle w:val="Compact"/>
              <w:jc w:val="center"/>
            </w:pPr>
            <w:r>
              <w:t xml:space="preserve">Post-hoc</w:t>
            </w:r>
          </w:p>
        </w:tc>
        <w:tc>
          <w:p>
            <w:pPr>
              <w:pStyle w:val="Compact"/>
              <w:jc w:val="center"/>
            </w:pPr>
            <w:r>
              <w:t xml:space="preserve">Detection</w:t>
            </w:r>
          </w:p>
        </w:tc>
        <w:tc>
          <w:p>
            <w:pPr>
              <w:pStyle w:val="Compact"/>
              <w:jc w:val="center"/>
            </w:pPr>
            <w:r>
              <w:t xml:space="preserve">TP Mean</w:t>
            </w:r>
          </w:p>
        </w:tc>
        <w:tc>
          <w:p>
            <w:pPr>
              <w:pStyle w:val="Compact"/>
              <w:jc w:val="center"/>
            </w:pPr>
            <w:r>
              <w:t xml:space="preserve">TP Rank</w:t>
            </w:r>
          </w:p>
        </w:tc>
      </w:tr>
      <w:tr>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r>
      <w:tr>
        <w:tc>
          <w:p>
            <w:pPr>
              <w:pStyle w:val="Compact"/>
              <w:jc w:val="center"/>
            </w:pPr>
            <w:r>
              <w:t xml:space="preserve">1</w:t>
            </w:r>
          </w:p>
        </w:tc>
        <w:tc>
          <w:p>
            <w:pPr>
              <w:pStyle w:val="Compact"/>
              <w:jc w:val="center"/>
            </w:pPr>
            <w:r>
              <w:t xml:space="preserve">RF</w:t>
            </w:r>
          </w:p>
        </w:tc>
        <w:tc>
          <w:p>
            <w:pPr>
              <w:pStyle w:val="Compact"/>
              <w:jc w:val="center"/>
            </w:pPr>
            <w:r>
              <w:t xml:space="preserve">FCD IIb</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2.41</w:t>
            </w:r>
          </w:p>
        </w:tc>
        <w:tc>
          <w:p>
            <w:pPr>
              <w:pStyle w:val="Compact"/>
              <w:jc w:val="center"/>
            </w:pPr>
            <w:r>
              <w:t xml:space="preserve">1 / 2</w:t>
            </w:r>
          </w:p>
        </w:tc>
      </w:tr>
      <w:tr>
        <w:tc>
          <w:p>
            <w:pPr>
              <w:pStyle w:val="Compact"/>
              <w:jc w:val="center"/>
            </w:pPr>
            <w:r>
              <w:t xml:space="preserve">2</w:t>
            </w:r>
          </w:p>
        </w:tc>
        <w:tc>
          <w:p>
            <w:pPr>
              <w:pStyle w:val="Compact"/>
              <w:jc w:val="center"/>
            </w:pPr>
            <w:r>
              <w:t xml:space="preserve">LC</w:t>
            </w:r>
          </w:p>
        </w:tc>
        <w:tc>
          <w:p>
            <w:pPr>
              <w:pStyle w:val="Compact"/>
              <w:jc w:val="center"/>
            </w:pPr>
            <w:r>
              <w:t xml:space="preserve">transmantle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2.12</w:t>
            </w:r>
          </w:p>
        </w:tc>
        <w:tc>
          <w:p>
            <w:pPr>
              <w:pStyle w:val="Compact"/>
              <w:jc w:val="center"/>
            </w:pPr>
            <w:r>
              <w:t xml:space="preserve">1 / 1</w:t>
            </w:r>
          </w:p>
        </w:tc>
      </w:tr>
      <w:tr>
        <w:tc>
          <w:p>
            <w:pPr>
              <w:pStyle w:val="Compact"/>
              <w:jc w:val="center"/>
            </w:pPr>
            <w:r>
              <w:t xml:space="preserve">3</w:t>
            </w:r>
          </w:p>
        </w:tc>
        <w:tc>
          <w:p>
            <w:pPr>
              <w:pStyle w:val="Compact"/>
              <w:jc w:val="center"/>
            </w:pPr>
            <w:r>
              <w:t xml:space="preserve">RC</w:t>
            </w:r>
          </w:p>
        </w:tc>
        <w:tc>
          <w:p>
            <w:pPr>
              <w:pStyle w:val="Compact"/>
              <w:jc w:val="center"/>
            </w:pPr>
            <w:r>
              <w:t xml:space="preserve">transmantle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1.97</w:t>
            </w:r>
          </w:p>
        </w:tc>
        <w:tc>
          <w:p>
            <w:pPr>
              <w:pStyle w:val="Compact"/>
              <w:jc w:val="center"/>
            </w:pPr>
            <w:r>
              <w:t xml:space="preserve">1 / 2</w:t>
            </w:r>
          </w:p>
        </w:tc>
      </w:tr>
      <w:tr>
        <w:tc>
          <w:p>
            <w:pPr>
              <w:pStyle w:val="Compact"/>
              <w:jc w:val="center"/>
            </w:pPr>
            <w:r>
              <w:t xml:space="preserve">4</w:t>
            </w:r>
          </w:p>
        </w:tc>
        <w:tc>
          <w:p>
            <w:pPr>
              <w:pStyle w:val="Compact"/>
              <w:jc w:val="center"/>
            </w:pPr>
            <w:r>
              <w:t xml:space="preserve">RP</w:t>
            </w:r>
          </w:p>
        </w:tc>
        <w:tc>
          <w:p>
            <w:pPr>
              <w:pStyle w:val="Compact"/>
              <w:jc w:val="center"/>
            </w:pPr>
            <w:r>
              <w:t xml:space="preserve">transmantle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1.87</w:t>
            </w:r>
          </w:p>
        </w:tc>
        <w:tc>
          <w:p>
            <w:pPr>
              <w:pStyle w:val="Compact"/>
              <w:jc w:val="center"/>
            </w:pPr>
            <w:r>
              <w:t xml:space="preserve">1 / 3</w:t>
            </w:r>
          </w:p>
        </w:tc>
      </w:tr>
      <w:tr>
        <w:tc>
          <w:p>
            <w:pPr>
              <w:pStyle w:val="Compact"/>
              <w:jc w:val="center"/>
            </w:pPr>
            <w:r>
              <w:t xml:space="preserve">5</w:t>
            </w:r>
          </w:p>
        </w:tc>
        <w:tc>
          <w:p>
            <w:pPr>
              <w:pStyle w:val="Compact"/>
              <w:jc w:val="center"/>
            </w:pPr>
            <w:r>
              <w:t xml:space="preserve">LF</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1.78</w:t>
            </w:r>
          </w:p>
        </w:tc>
        <w:tc>
          <w:p>
            <w:pPr>
              <w:pStyle w:val="Compact"/>
              <w:jc w:val="center"/>
            </w:pPr>
            <w:r>
              <w:t xml:space="preserve">1 / 2</w:t>
            </w:r>
          </w:p>
        </w:tc>
      </w:tr>
      <w:tr>
        <w:tc>
          <w:p>
            <w:pPr>
              <w:pStyle w:val="Compact"/>
              <w:jc w:val="center"/>
            </w:pPr>
            <w:r>
              <w:t xml:space="preserve">6</w:t>
            </w:r>
          </w:p>
        </w:tc>
        <w:tc>
          <w:p>
            <w:pPr>
              <w:pStyle w:val="Compact"/>
              <w:jc w:val="center"/>
            </w:pPr>
            <w:r>
              <w:t xml:space="preserve">RT</w:t>
            </w:r>
          </w:p>
        </w:tc>
        <w:tc>
          <w:p>
            <w:pPr>
              <w:pStyle w:val="Compact"/>
              <w:jc w:val="center"/>
            </w:pPr>
            <w:r>
              <w:t xml:space="preserve">transmantle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1.69</w:t>
            </w:r>
          </w:p>
        </w:tc>
        <w:tc>
          <w:p>
            <w:pPr>
              <w:pStyle w:val="Compact"/>
              <w:jc w:val="center"/>
            </w:pPr>
            <w:r>
              <w:t xml:space="preserve">3 / 3</w:t>
            </w:r>
          </w:p>
        </w:tc>
      </w:tr>
      <w:tr>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r>
      <w:tr>
        <w:tc>
          <w:p>
            <w:pPr>
              <w:pStyle w:val="Compact"/>
              <w:jc w:val="center"/>
            </w:pPr>
            <w:r>
              <w:t xml:space="preserve">7</w:t>
            </w:r>
          </w:p>
        </w:tc>
        <w:tc>
          <w:p>
            <w:pPr>
              <w:pStyle w:val="Compact"/>
              <w:jc w:val="center"/>
            </w:pPr>
            <w:r>
              <w:t xml:space="preserve">RF</w:t>
            </w:r>
          </w:p>
        </w:tc>
        <w:tc>
          <w:p>
            <w:pPr>
              <w:pStyle w:val="Compact"/>
              <w:jc w:val="center"/>
            </w:pPr>
            <w:r>
              <w:t xml:space="preserve">FCD IIb</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2.26</w:t>
            </w:r>
          </w:p>
        </w:tc>
        <w:tc>
          <w:p>
            <w:pPr>
              <w:pStyle w:val="Compact"/>
              <w:jc w:val="center"/>
            </w:pPr>
            <w:r>
              <w:t xml:space="preserve">1 / 1</w:t>
            </w:r>
          </w:p>
        </w:tc>
      </w:tr>
      <w:tr>
        <w:tc>
          <w:p>
            <w:pPr>
              <w:pStyle w:val="Compact"/>
              <w:jc w:val="center"/>
            </w:pPr>
            <w:r>
              <w:t xml:space="preserve">8</w:t>
            </w:r>
          </w:p>
        </w:tc>
        <w:tc>
          <w:p>
            <w:pPr>
              <w:pStyle w:val="Compact"/>
              <w:jc w:val="center"/>
            </w:pPr>
            <w:r>
              <w:t xml:space="preserve">LF</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2.05</w:t>
            </w:r>
          </w:p>
        </w:tc>
        <w:tc>
          <w:p>
            <w:pPr>
              <w:pStyle w:val="Compact"/>
              <w:jc w:val="center"/>
            </w:pPr>
            <w:r>
              <w:t xml:space="preserve">1 / 1</w:t>
            </w:r>
          </w:p>
        </w:tc>
      </w:tr>
      <w:tr>
        <w:tc>
          <w:p>
            <w:pPr>
              <w:pStyle w:val="Compact"/>
              <w:jc w:val="center"/>
            </w:pPr>
            <w:r>
              <w:t xml:space="preserve">9</w:t>
            </w:r>
          </w:p>
        </w:tc>
        <w:tc>
          <w:p>
            <w:pPr>
              <w:pStyle w:val="Compact"/>
              <w:jc w:val="center"/>
            </w:pPr>
            <w:r>
              <w:t xml:space="preserve">RP</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1.85</w:t>
            </w:r>
          </w:p>
        </w:tc>
        <w:tc>
          <w:p>
            <w:pPr>
              <w:pStyle w:val="Compact"/>
              <w:jc w:val="center"/>
            </w:pPr>
            <w:r>
              <w:t xml:space="preserve">1 / 1</w:t>
            </w:r>
          </w:p>
        </w:tc>
      </w:tr>
      <w:tr>
        <w:tc>
          <w:p>
            <w:pPr>
              <w:pStyle w:val="Compact"/>
              <w:jc w:val="center"/>
            </w:pPr>
            <w:r>
              <w:t xml:space="preserve">10</w:t>
            </w:r>
          </w:p>
        </w:tc>
        <w:tc>
          <w:p>
            <w:pPr>
              <w:pStyle w:val="Compact"/>
              <w:jc w:val="center"/>
            </w:pPr>
            <w:r>
              <w:t xml:space="preserve">LT</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1.73</w:t>
            </w:r>
          </w:p>
        </w:tc>
        <w:tc>
          <w:p>
            <w:pPr>
              <w:pStyle w:val="Compact"/>
              <w:jc w:val="center"/>
            </w:pPr>
            <w:r>
              <w:t xml:space="preserve">1 / 1</w:t>
            </w:r>
          </w:p>
        </w:tc>
      </w:tr>
      <w:tr>
        <w:tc>
          <w:p>
            <w:pPr>
              <w:pStyle w:val="Compact"/>
              <w:jc w:val="center"/>
            </w:pPr>
            <w:r>
              <w:t xml:space="preserve">11</w:t>
            </w:r>
          </w:p>
        </w:tc>
        <w:tc>
          <w:p>
            <w:pPr>
              <w:pStyle w:val="Compact"/>
              <w:jc w:val="center"/>
            </w:pPr>
            <w:r>
              <w:t xml:space="preserve">LF</w:t>
            </w:r>
          </w:p>
        </w:tc>
        <w:tc>
          <w:p>
            <w:pPr>
              <w:pStyle w:val="Compact"/>
              <w:jc w:val="center"/>
            </w:pPr>
            <w:r>
              <w:t xml:space="preserve">FCD IIa</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1.73</w:t>
            </w:r>
          </w:p>
        </w:tc>
        <w:tc>
          <w:p>
            <w:pPr>
              <w:pStyle w:val="Compact"/>
              <w:jc w:val="center"/>
            </w:pPr>
            <w:r>
              <w:t xml:space="preserve">2 / 2</w:t>
            </w:r>
          </w:p>
        </w:tc>
      </w:tr>
      <w:tr>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c>
          <w:p>
            <w:pPr>
              <w:pStyle w:val="Compact"/>
            </w:pPr>
          </w:p>
        </w:tc>
      </w:tr>
      <w:tr>
        <w:tc>
          <w:p>
            <w:pPr>
              <w:pStyle w:val="Compact"/>
              <w:jc w:val="center"/>
            </w:pPr>
            <w:r>
              <w:t xml:space="preserve">12</w:t>
            </w:r>
          </w:p>
        </w:tc>
        <w:tc>
          <w:p>
            <w:pPr>
              <w:pStyle w:val="Compact"/>
              <w:jc w:val="center"/>
            </w:pPr>
            <w:r>
              <w:t xml:space="preserve">RP</w:t>
            </w:r>
          </w:p>
        </w:tc>
        <w:tc>
          <w:p>
            <w:pPr>
              <w:pStyle w:val="Compact"/>
              <w:jc w:val="center"/>
            </w:pPr>
            <w:r>
              <w:t xml:space="preserve">FCD IIa</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1.91</w:t>
            </w:r>
          </w:p>
        </w:tc>
        <w:tc>
          <w:p>
            <w:pPr>
              <w:pStyle w:val="Compact"/>
              <w:jc w:val="center"/>
            </w:pPr>
            <w:r>
              <w:t xml:space="preserve">1 / 1</w:t>
            </w:r>
          </w:p>
        </w:tc>
      </w:tr>
      <w:tr>
        <w:tc>
          <w:p>
            <w:pPr>
              <w:pStyle w:val="Compact"/>
              <w:jc w:val="center"/>
            </w:pPr>
            <w:r>
              <w:t xml:space="preserve">13</w:t>
            </w:r>
          </w:p>
        </w:tc>
        <w:tc>
          <w:p>
            <w:pPr>
              <w:pStyle w:val="Compact"/>
              <w:jc w:val="center"/>
            </w:pPr>
            <w:r>
              <w:t xml:space="preserve">LF</w:t>
            </w:r>
          </w:p>
        </w:tc>
        <w:tc>
          <w:p>
            <w:pPr>
              <w:pStyle w:val="Compact"/>
              <w:jc w:val="center"/>
            </w:pPr>
            <w:r>
              <w:t xml:space="preserve">FCD IIb</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1.6</w:t>
            </w:r>
          </w:p>
        </w:tc>
        <w:tc>
          <w:p>
            <w:pPr>
              <w:pStyle w:val="Compact"/>
              <w:jc w:val="center"/>
            </w:pPr>
            <w:r>
              <w:t xml:space="preserve">1 / 1</w:t>
            </w:r>
          </w:p>
        </w:tc>
      </w:tr>
      <w:tr>
        <w:tc>
          <w:p>
            <w:pPr>
              <w:pStyle w:val="Compact"/>
              <w:jc w:val="center"/>
            </w:pPr>
            <w:r>
              <w:t xml:space="preserve">14</w:t>
            </w:r>
          </w:p>
        </w:tc>
        <w:tc>
          <w:p>
            <w:pPr>
              <w:pStyle w:val="Compact"/>
              <w:jc w:val="center"/>
            </w:pPr>
            <w:r>
              <w:t xml:space="preserve">LC</w:t>
            </w:r>
          </w:p>
        </w:tc>
        <w:tc>
          <w:p>
            <w:pPr>
              <w:pStyle w:val="Compact"/>
              <w:jc w:val="center"/>
            </w:pPr>
            <w:r>
              <w:t xml:space="preserve">FCD IIa</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 / 3</w:t>
            </w:r>
          </w:p>
        </w:tc>
      </w:tr>
      <w:tr>
        <w:tc>
          <w:p>
            <w:pPr>
              <w:pStyle w:val="Compact"/>
              <w:jc w:val="center"/>
            </w:pPr>
            <w:r>
              <w:t xml:space="preserve">15</w:t>
            </w:r>
          </w:p>
        </w:tc>
        <w:tc>
          <w:p>
            <w:pPr>
              <w:pStyle w:val="Compact"/>
              <w:jc w:val="center"/>
            </w:pPr>
            <w:r>
              <w:t xml:space="preserve">RF</w:t>
            </w:r>
          </w:p>
        </w:tc>
        <w:tc>
          <w:p>
            <w:pPr>
              <w:pStyle w:val="Compact"/>
              <w:jc w:val="center"/>
            </w:pPr>
            <w:r>
              <w:t xml:space="preserve">FCD IIa</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w:t>
            </w:r>
          </w:p>
        </w:tc>
        <w:tc>
          <w:p>
            <w:pPr>
              <w:pStyle w:val="Compact"/>
              <w:jc w:val="center"/>
            </w:pPr>
            <w:r>
              <w:t xml:space="preserve">- / 1</w:t>
            </w:r>
          </w:p>
        </w:tc>
      </w:tr>
    </w:tbl>
    <w:p>
      <w:pPr>
        <w:pStyle w:val="Heading1"/>
      </w:pPr>
      <w:bookmarkStart w:id="56" w:name="discussion"/>
      <w:bookmarkEnd w:id="56"/>
      <w:r>
        <w:t xml:space="preserve">Discussion</w:t>
      </w:r>
    </w:p>
    <w:p>
      <w:pPr>
        <w:pStyle w:val="FirstParagraph"/>
      </w:pPr>
      <w:r>
        <w:t xml:space="preserve">We used a novel normative modeling approach to compare local features of</w:t>
      </w:r>
      <w:r>
        <w:t xml:space="preserve"> </w:t>
      </w:r>
      <w:r>
        <w:t xml:space="preserve">FCDs to those of normal cortex.  We found that FCDs on average are</w:t>
      </w:r>
      <w:r>
        <w:t xml:space="preserve"> </w:t>
      </w:r>
      <w:r>
        <w:t xml:space="preserve">global outliers but not more so than some reproducible regions of normal</w:t>
      </w:r>
      <w:r>
        <w:t xml:space="preserve"> </w:t>
      </w:r>
      <w:r>
        <w:t xml:space="preserve">cortex.  In addition, the features seen in FCDs appear quite similar to</w:t>
      </w:r>
      <w:r>
        <w:t xml:space="preserve"> </w:t>
      </w:r>
      <w:r>
        <w:t xml:space="preserve">those found in some outlying cortical regions such as paralimbic and</w:t>
      </w:r>
      <w:r>
        <w:t xml:space="preserve"> </w:t>
      </w:r>
      <w:r>
        <w:t xml:space="preserve">sensorimotor cortices.  After locally correcting for the expected</w:t>
      </w:r>
      <w:r>
        <w:t xml:space="preserve"> </w:t>
      </w:r>
      <w:r>
        <w:t xml:space="preserve">appearance at each cortical location, FCD lesions become more easily</w:t>
      </w:r>
      <w:r>
        <w:t xml:space="preserve"> </w:t>
      </w:r>
      <w:r>
        <w:t xml:space="preserve">distinguishable from normal cortex, with true positive clusters found in</w:t>
      </w:r>
      <w:r>
        <w:t xml:space="preserve"> </w:t>
      </w:r>
      <w:r>
        <w:t xml:space="preserve">13/15 patients, allowing for automated detection with 80% sensitivity</w:t>
      </w:r>
      <w:r>
        <w:t xml:space="preserve"> </w:t>
      </w:r>
      <w:r>
        <w:t xml:space="preserve">and 70% specificity. </w:t>
      </w:r>
    </w:p>
    <w:p>
      <w:pPr>
        <w:pStyle w:val="BodyText"/>
      </w:pPr>
      <w:r>
        <w:t xml:space="preserve">The performance of any FCD detection method depends on the features used</w:t>
      </w:r>
      <w:r>
        <w:t xml:space="preserve"> </w:t>
      </w:r>
      <w:r>
        <w:t xml:space="preserve">to create an effective representation of the data.  Here, we implemented</w:t>
      </w:r>
      <w:r>
        <w:t xml:space="preserve"> </w:t>
      </w:r>
      <w:r>
        <w:t xml:space="preserve">a generic set of multiscale 3D rotationally-invariant derivative-based</w:t>
      </w:r>
      <w:r>
        <w:t xml:space="preserve"> </w:t>
      </w:r>
      <w:r>
        <w:t xml:space="preserve">filters applied to T</w:t>
      </w:r>
      <w:r>
        <w:rPr>
          <w:vertAlign w:val="subscript"/>
        </w:rPr>
        <w:t xml:space="preserve">1</w:t>
      </w:r>
      <w:r>
        <w:t xml:space="preserve">, T</w:t>
      </w:r>
      <w:r>
        <w:rPr>
          <w:vertAlign w:val="subscript"/>
        </w:rPr>
        <w:t xml:space="preserve">2</w:t>
      </w:r>
      <w:r>
        <w:t xml:space="preserve">, and FLAIR</w:t>
      </w:r>
      <w:r>
        <w:t xml:space="preserve"> </w:t>
      </w:r>
      <w:r>
        <w:t xml:space="preserve">images. Similar 2D filters have been used in computer vision</w:t>
      </w:r>
      <w:r>
        <w:t xml:space="preserve"> </w:t>
      </w:r>
      <w:r>
        <w:t xml:space="preserve">applications such as texture synthesis and imaging</w:t>
      </w:r>
      <w:r>
        <w:t xml:space="preserve"> </w:t>
      </w:r>
      <w:r>
        <w:t xml:space="preserve">denoising (Portilla et al., 2003) and occasionally in biomedical applications</w:t>
      </w:r>
      <w:r>
        <w:t xml:space="preserve"> </w:t>
      </w:r>
      <w:r>
        <w:t xml:space="preserve">such as brain tumor classification (Zacharaki et al., 2009), lung disease</w:t>
      </w:r>
      <w:r>
        <w:t xml:space="preserve"> </w:t>
      </w:r>
      <w:r>
        <w:t xml:space="preserve">segmentation (Joyseeree et al., 2018; Wang et al., 2018) and cerebral white matter lesion</w:t>
      </w:r>
      <w:r>
        <w:t xml:space="preserve"> </w:t>
      </w:r>
      <w:r>
        <w:t xml:space="preserve">detection (Selvaganesan et al., 2019).  Most post-processing approaches to FCD</w:t>
      </w:r>
      <w:r>
        <w:t xml:space="preserve"> </w:t>
      </w:r>
      <w:r>
        <w:t xml:space="preserve">detection to date have used features derived from voxel-based or</w:t>
      </w:r>
      <w:r>
        <w:t xml:space="preserve"> </w:t>
      </w:r>
      <w:r>
        <w:t xml:space="preserve">surface-based morphometry (see review in (Kini et al., 2016)), including</w:t>
      </w:r>
      <w:r>
        <w:t xml:space="preserve"> </w:t>
      </w:r>
      <w:r>
        <w:t xml:space="preserve">a variety of measures of image intensity and blurring of the gray-white</w:t>
      </w:r>
      <w:r>
        <w:t xml:space="preserve"> </w:t>
      </w:r>
      <w:r>
        <w:t xml:space="preserve">junction, similar to our Gaussian blurring and gradient amplitude</w:t>
      </w:r>
      <w:r>
        <w:t xml:space="preserve"> </w:t>
      </w:r>
      <w:r>
        <w:t xml:space="preserve">metrics.  The second-derivative-based filters that we have employed</w:t>
      </w:r>
      <w:r>
        <w:t xml:space="preserve"> </w:t>
      </w:r>
      <w:r>
        <w:t xml:space="preserve">contain information similar to the higher-order textural features</w:t>
      </w:r>
      <w:r>
        <w:t xml:space="preserve"> </w:t>
      </w:r>
      <w:r>
        <w:t xml:space="preserve">implemented by Antel et al., who used gray-level co-occurrence matrices</w:t>
      </w:r>
      <w:r>
        <w:t xml:space="preserve"> </w:t>
      </w:r>
      <w:r>
        <w:t xml:space="preserve">derived from T1-weighted images at a single spatial</w:t>
      </w:r>
      <w:r>
        <w:t xml:space="preserve"> </w:t>
      </w:r>
      <w:r>
        <w:t xml:space="preserve">scale (Antel et al., 2003).  Our features extend this work by additionally</w:t>
      </w:r>
      <w:r>
        <w:t xml:space="preserve"> </w:t>
      </w:r>
      <w:r>
        <w:t xml:space="preserve">containing information from multiple spatial scales, as well as multiple</w:t>
      </w:r>
      <w:r>
        <w:t xml:space="preserve"> </w:t>
      </w:r>
      <w:r>
        <w:t xml:space="preserve">MR contrasts.  In our evaluation, we found that these features can be</w:t>
      </w:r>
      <w:r>
        <w:t xml:space="preserve"> </w:t>
      </w:r>
      <w:r>
        <w:t xml:space="preserve">used to accurately predict other more commonly described features such</w:t>
      </w:r>
      <w:r>
        <w:t xml:space="preserve"> </w:t>
      </w:r>
      <w:r>
        <w:t xml:space="preserve">as cortical thickness and myelination, as well as the Freesurfer-defined</w:t>
      </w:r>
      <w:r>
        <w:t xml:space="preserve"> </w:t>
      </w:r>
      <w:r>
        <w:t xml:space="preserve">metric of blurring of the gray-white junction.</w:t>
      </w:r>
    </w:p>
    <w:p>
      <w:pPr>
        <w:pStyle w:val="BodyText"/>
      </w:pPr>
      <w:r>
        <w:t xml:space="preserve">Detection of subtle cortical lesions is challenging, at least in part</w:t>
      </w:r>
      <w:r>
        <w:t xml:space="preserve"> </w:t>
      </w:r>
      <w:r>
        <w:t xml:space="preserve">due to difficulties in accounting for the variability of both the cortex</w:t>
      </w:r>
      <w:r>
        <w:t xml:space="preserve"> </w:t>
      </w:r>
      <w:r>
        <w:t xml:space="preserve">and the lesions.  Our normative model creates a single overall</w:t>
      </w:r>
      <w:r>
        <w:t xml:space="preserve"> </w:t>
      </w:r>
      <w:r>
        <w:t xml:space="preserve">probabilistic representation of normal cortical variability that</w:t>
      </w:r>
      <w:r>
        <w:t xml:space="preserve"> </w:t>
      </w:r>
      <w:r>
        <w:t xml:space="preserve">encompasses information from multiple local imaging features, spatial</w:t>
      </w:r>
      <w:r>
        <w:t xml:space="preserve"> </w:t>
      </w:r>
      <w:r>
        <w:t xml:space="preserve">scales, and MR contrasts.  We found that while FCD lesions are on</w:t>
      </w:r>
      <w:r>
        <w:t xml:space="preserve"> </w:t>
      </w:r>
      <w:r>
        <w:t xml:space="preserve">average global outliers in appearance compared to normal cortex as a</w:t>
      </w:r>
      <w:r>
        <w:t xml:space="preserve"> </w:t>
      </w:r>
      <w:r>
        <w:t xml:space="preserve">whole, some normal regions are outliers to a similar degree.  FCDs also</w:t>
      </w:r>
      <w:r>
        <w:t xml:space="preserve"> </w:t>
      </w:r>
      <w:r>
        <w:t xml:space="preserve">appear similar in their underlying average features to some of these</w:t>
      </w:r>
      <w:r>
        <w:t xml:space="preserve"> </w:t>
      </w:r>
      <w:r>
        <w:t xml:space="preserve">normally outlying regions; the first component appears similar to</w:t>
      </w:r>
      <w:r>
        <w:t xml:space="preserve"> </w:t>
      </w:r>
      <w:r>
        <w:t xml:space="preserve">regions such as the anterior insula and mesial temporal cortex, and the</w:t>
      </w:r>
      <w:r>
        <w:t xml:space="preserve"> </w:t>
      </w:r>
      <w:r>
        <w:t xml:space="preserve">second appears similar to sensorimotor and posterior cingulate</w:t>
      </w:r>
      <w:r>
        <w:t xml:space="preserve"> </w:t>
      </w:r>
      <w:r>
        <w:t xml:space="preserve">cortices.  These outlying regions generally consist of relatively thick</w:t>
      </w:r>
      <w:r>
        <w:t xml:space="preserve"> </w:t>
      </w:r>
      <w:r>
        <w:t xml:space="preserve">agranular or dysgranular cortex  (Amunts and Zilles, 2015; Triarhou, 2007; Zilles and Amunts, 2010) with relatively</w:t>
      </w:r>
      <w:r>
        <w:t xml:space="preserve"> </w:t>
      </w:r>
      <w:r>
        <w:t xml:space="preserve">blurry gray-white junctions.  However, they are at opposite ends of the</w:t>
      </w:r>
      <w:r>
        <w:t xml:space="preserve"> </w:t>
      </w:r>
      <w:r>
        <w:t xml:space="preserve">known gradients in myelination; primary sensorimotor regions are heavily</w:t>
      </w:r>
      <w:r>
        <w:t xml:space="preserve"> </w:t>
      </w:r>
      <w:r>
        <w:t xml:space="preserve">myelinated while paralimbic cingulate and parahippocampal cortices are</w:t>
      </w:r>
      <w:r>
        <w:t xml:space="preserve"> </w:t>
      </w:r>
      <w:r>
        <w:t xml:space="preserve">lightly myelinated (Glasser and Van, 2011; Nieuwenhuys and Broere, 2017; Paquola et al., 2019). Accordingly, the precentral ROI</w:t>
      </w:r>
      <w:r>
        <w:t xml:space="preserve"> </w:t>
      </w:r>
      <w:r>
        <w:t xml:space="preserve">similarity map parallels the myelination gradients, extending primarily</w:t>
      </w:r>
      <w:r>
        <w:t xml:space="preserve"> </w:t>
      </w:r>
      <w:r>
        <w:t xml:space="preserve">toward the premotor regions, while the insula similarity map identifies</w:t>
      </w:r>
      <w:r>
        <w:t xml:space="preserve"> </w:t>
      </w:r>
      <w:r>
        <w:t xml:space="preserve">the lightly myelinated, relatively thick anterior cingulate and</w:t>
      </w:r>
      <w:r>
        <w:t xml:space="preserve"> </w:t>
      </w:r>
      <w:r>
        <w:t xml:space="preserve">parahippocampal cortices.  Commonalities between the FCD similarity maps</w:t>
      </w:r>
      <w:r>
        <w:t xml:space="preserve"> </w:t>
      </w:r>
      <w:r>
        <w:t xml:space="preserve">is likely attributable to these shared features.</w:t>
      </w:r>
    </w:p>
    <w:p>
      <w:pPr>
        <w:pStyle w:val="BodyText"/>
      </w:pPr>
      <w:r>
        <w:t xml:space="preserve">Local normalization procedures correct for the expected appearance of</w:t>
      </w:r>
      <w:r>
        <w:t xml:space="preserve"> </w:t>
      </w:r>
      <w:r>
        <w:t xml:space="preserve">the cortex in a given location, thereby allowing FCDs to be more easily</w:t>
      </w:r>
      <w:r>
        <w:t xml:space="preserve"> </w:t>
      </w:r>
      <w:r>
        <w:t xml:space="preserve">distinguished both from other normally outlying cortical regions. </w:t>
      </w:r>
      <w:r>
        <w:t xml:space="preserve"> </w:t>
      </w:r>
      <w:r>
        <w:t xml:space="preserve">Interestingly, we also observed that FCDs initially share some common</w:t>
      </w:r>
      <w:r>
        <w:t xml:space="preserve"> </w:t>
      </w:r>
      <w:r>
        <w:t xml:space="preserve">features with their underlying homotopic cortical regions, with cosine</w:t>
      </w:r>
      <w:r>
        <w:t xml:space="preserve"> </w:t>
      </w:r>
      <w:r>
        <w:t xml:space="preserve">similarities between FCDs and their respective homotopic regions being</w:t>
      </w:r>
      <w:r>
        <w:t xml:space="preserve"> </w:t>
      </w:r>
      <w:r>
        <w:t xml:space="preserve">equal to that of other FCDs and significantly more similar than to</w:t>
      </w:r>
      <w:r>
        <w:t xml:space="preserve"> </w:t>
      </w:r>
      <w:r>
        <w:t xml:space="preserve">random cortical areas. This finding is consistent with the fact that</w:t>
      </w:r>
      <w:r>
        <w:t xml:space="preserve"> </w:t>
      </w:r>
      <w:r>
        <w:t xml:space="preserve">many of these lesions differ only subtly from surrounding cortex, which</w:t>
      </w:r>
      <w:r>
        <w:t xml:space="preserve"> </w:t>
      </w:r>
      <w:r>
        <w:t xml:space="preserve">makes them difficult to appreciate visually.  This is no longer seen</w:t>
      </w:r>
      <w:r>
        <w:t xml:space="preserve"> </w:t>
      </w:r>
      <w:r>
        <w:t xml:space="preserve">following local normalization.</w:t>
      </w:r>
    </w:p>
    <w:p>
      <w:pPr>
        <w:pStyle w:val="BodyText"/>
      </w:pPr>
      <w:r>
        <w:t xml:space="preserve">Our automated detection procedure based on these locally-normalized FCD</w:t>
      </w:r>
      <w:r>
        <w:t xml:space="preserve"> </w:t>
      </w:r>
      <w:r>
        <w:t xml:space="preserve">similarity maps allows  for detection of 80% of FCDs and 100% of</w:t>
      </w:r>
      <w:r>
        <w:t xml:space="preserve"> </w:t>
      </w:r>
      <w:r>
        <w:t xml:space="preserve">visually identifiable FCDs with 70% specificity.  In patients with true</w:t>
      </w:r>
      <w:r>
        <w:t xml:space="preserve"> </w:t>
      </w:r>
      <w:r>
        <w:t xml:space="preserve">positive clusters, the lesion of interest had the highest cluster weight</w:t>
      </w:r>
      <w:r>
        <w:t xml:space="preserve"> </w:t>
      </w:r>
      <w:r>
        <w:t xml:space="preserve">in 11/13 (85%), thus providing an additional way of identifying lesions</w:t>
      </w:r>
      <w:r>
        <w:t xml:space="preserve"> </w:t>
      </w:r>
      <w:r>
        <w:t xml:space="preserve">of higher interest in a given patient, similar to the approach used in</w:t>
      </w:r>
      <w:r>
        <w:t xml:space="preserve"> </w:t>
      </w:r>
      <w:r>
        <w:t xml:space="preserve">Adler  et al. (Adler et al., 2017).  Many are also clearly identifiable by</w:t>
      </w:r>
      <w:r>
        <w:t xml:space="preserve"> </w:t>
      </w:r>
      <w:r>
        <w:t xml:space="preserve">visual inspection of the FCD similarity maps, which can be reviewed</w:t>
      </w:r>
      <w:r>
        <w:t xml:space="preserve"> </w:t>
      </w:r>
      <w:r>
        <w:t xml:space="preserve">similarly to the maps created using the MAP</w:t>
      </w:r>
      <w:r>
        <w:t xml:space="preserve"> </w:t>
      </w:r>
      <w:r>
        <w:t xml:space="preserve">procedure (Wang et al., 2015; Wagner et al., 2011)..  The performance of our automated</w:t>
      </w:r>
      <w:r>
        <w:t xml:space="preserve"> </w:t>
      </w:r>
      <w:r>
        <w:t xml:space="preserve">classifier is similar to previously reported machine learning methods,</w:t>
      </w:r>
      <w:r>
        <w:t xml:space="preserve"> </w:t>
      </w:r>
      <w:r>
        <w:t xml:space="preserve">which have achieved 58-74% sensitivity, with specificities ranging from</w:t>
      </w:r>
      <w:r>
        <w:t xml:space="preserve"> </w:t>
      </w:r>
      <w:r>
        <w:t xml:space="preserve">not reported to 100% (Adler et al., 2017; Ahmed et al., 2015; Hong et al., 2014; Jin et al., 2018).  Comparisons of performance</w:t>
      </w:r>
      <w:r>
        <w:t xml:space="preserve"> </w:t>
      </w:r>
      <w:r>
        <w:t xml:space="preserve">across methods continues to be challenging.  To our knowledge, no work</w:t>
      </w:r>
      <w:r>
        <w:t xml:space="preserve"> </w:t>
      </w:r>
      <w:r>
        <w:t xml:space="preserve">to date has directly compared the performance of  different automated</w:t>
      </w:r>
      <w:r>
        <w:t xml:space="preserve"> </w:t>
      </w:r>
      <w:r>
        <w:t xml:space="preserve">FCD methods in the same patient population.  Numerous factors may affect</w:t>
      </w:r>
      <w:r>
        <w:t xml:space="preserve"> </w:t>
      </w:r>
      <w:r>
        <w:t xml:space="preserve">the performance, including the conspicuity of lesions studied, ranging</w:t>
      </w:r>
      <w:r>
        <w:t xml:space="preserve"> </w:t>
      </w:r>
      <w:r>
        <w:t xml:space="preserve">from clearly MR+ to MR- patients, and size of the patient and healthy</w:t>
      </w:r>
      <w:r>
        <w:t xml:space="preserve"> </w:t>
      </w:r>
      <w:r>
        <w:t xml:space="preserve">volunteer training sets utilized.  For supervised machine-learning</w:t>
      </w:r>
      <w:r>
        <w:t xml:space="preserve"> </w:t>
      </w:r>
      <w:r>
        <w:t xml:space="preserve">methods, performance appears to improve significantly with increasing</w:t>
      </w:r>
      <w:r>
        <w:t xml:space="preserve"> </w:t>
      </w:r>
      <w:r>
        <w:t xml:space="preserve">size of the healthy volunteer and patient training sets, which affect</w:t>
      </w:r>
      <w:r>
        <w:t xml:space="preserve"> </w:t>
      </w:r>
      <w:r>
        <w:t xml:space="preserve">the accuracy of modeling of both pathological and normal cortical</w:t>
      </w:r>
      <w:r>
        <w:t xml:space="preserve"> </w:t>
      </w:r>
      <w:r>
        <w:t xml:space="preserve">variability (Jin et al., 2018).  </w:t>
      </w:r>
    </w:p>
    <w:p>
      <w:pPr>
        <w:pStyle w:val="BodyText"/>
      </w:pPr>
      <w:r>
        <w:t xml:space="preserve">There are several challenges to widespread adoption of these techniques</w:t>
      </w:r>
      <w:r>
        <w:t xml:space="preserve"> </w:t>
      </w:r>
      <w:r>
        <w:t xml:space="preserve">into standard clinical practice, including: 1) MR scanning protocol</w:t>
      </w:r>
      <w:r>
        <w:t xml:space="preserve"> </w:t>
      </w:r>
      <w:r>
        <w:t xml:space="preserve">variability, hardware, and software, which may impair generalization of</w:t>
      </w:r>
      <w:r>
        <w:t xml:space="preserve"> </w:t>
      </w:r>
      <w:r>
        <w:t xml:space="preserve">any</w:t>
      </w:r>
      <w:r>
        <w:t xml:space="preserve"> </w:t>
      </w:r>
      <w:r>
        <w:t xml:space="preserve">“</w:t>
      </w:r>
      <w:r>
        <w:t xml:space="preserve">learning</w:t>
      </w:r>
      <w:r>
        <w:t xml:space="preserve">”</w:t>
      </w:r>
      <w:r>
        <w:t xml:space="preserve"> </w:t>
      </w:r>
      <w:r>
        <w:t xml:space="preserve">across centers; 2) limited availability of large</w:t>
      </w:r>
      <w:r>
        <w:t xml:space="preserve"> </w:t>
      </w:r>
      <w:r>
        <w:t xml:space="preserve">patient and normative training sets at single institutions, particularly</w:t>
      </w:r>
      <w:r>
        <w:t xml:space="preserve"> </w:t>
      </w:r>
      <w:r>
        <w:t xml:space="preserve">with ongoing evolution of acquisition protocols; and 3) significant</w:t>
      </w:r>
      <w:r>
        <w:t xml:space="preserve"> </w:t>
      </w:r>
      <w:r>
        <w:t xml:space="preserve">technical expertise required to implement these approaches. This work,</w:t>
      </w:r>
      <w:r>
        <w:t xml:space="preserve"> </w:t>
      </w:r>
      <w:r>
        <w:t xml:space="preserve">like others, is limited by the relatively small size of normative and</w:t>
      </w:r>
      <w:r>
        <w:t xml:space="preserve"> </w:t>
      </w:r>
      <w:r>
        <w:t xml:space="preserve">lesional training sets.  Open source efforts such as this and</w:t>
      </w:r>
      <w:r>
        <w:t xml:space="preserve"> </w:t>
      </w:r>
      <w:r>
        <w:t xml:space="preserve">the </w:t>
      </w:r>
      <w:hyperlink r:id="rId57">
        <w:r>
          <w:rPr>
            <w:rStyle w:val="Hyperlink"/>
          </w:rPr>
          <w:t xml:space="preserve">MELD</w:t>
        </w:r>
        <w:r>
          <w:rPr>
            <w:rStyle w:val="Hyperlink"/>
          </w:rPr>
          <w:t xml:space="preserve"> </w:t>
        </w:r>
        <w:r>
          <w:rPr>
            <w:rStyle w:val="Hyperlink"/>
          </w:rPr>
          <w:t xml:space="preserve">Project</w:t>
        </w:r>
      </w:hyperlink>
      <w:r>
        <w:t xml:space="preserve"> (</w:t>
      </w:r>
      <w:hyperlink r:id="rId58">
        <w:r>
          <w:rPr>
            <w:rStyle w:val="Hyperlink"/>
          </w:rPr>
          <w:t xml:space="preserve">https://meldproject.github.io/</w:t>
        </w:r>
      </w:hyperlink>
      <w:r>
        <w:t xml:space="preserve">) wil hopefully continue</w:t>
      </w:r>
      <w:r>
        <w:t xml:space="preserve"> </w:t>
      </w:r>
      <w:r>
        <w:t xml:space="preserve">to increase adoption, allow for direct comparisons of methods, and allow</w:t>
      </w:r>
      <w:r>
        <w:t xml:space="preserve"> </w:t>
      </w:r>
      <w:r>
        <w:t xml:space="preserve">for pooling of data across centers leading to improved</w:t>
      </w:r>
      <w:r>
        <w:t xml:space="preserve"> </w:t>
      </w:r>
      <w:r>
        <w:t xml:space="preserve">performance (Jin et al., 2018). </w:t>
      </w:r>
    </w:p>
    <w:p>
      <w:pPr>
        <w:pStyle w:val="Heading1"/>
      </w:pPr>
      <w:bookmarkStart w:id="59" w:name="conclusions"/>
      <w:bookmarkEnd w:id="59"/>
      <w:r>
        <w:t xml:space="preserve">Conclusions</w:t>
      </w:r>
    </w:p>
    <w:p>
      <w:pPr>
        <w:pStyle w:val="FirstParagraph"/>
      </w:pPr>
      <w:r>
        <w:t xml:space="preserve">We implemented a novel normative modeling approach to FCD</w:t>
      </w:r>
      <w:r>
        <w:t xml:space="preserve"> </w:t>
      </w:r>
      <w:r>
        <w:t xml:space="preserve">identification, providing a robust characterization of normal cortical</w:t>
      </w:r>
      <w:r>
        <w:t xml:space="preserve"> </w:t>
      </w:r>
      <w:r>
        <w:t xml:space="preserve">variability for comparison with FCD lesions. In keeping with their often</w:t>
      </w:r>
      <w:r>
        <w:t xml:space="preserve"> </w:t>
      </w:r>
      <w:r>
        <w:t xml:space="preserve">subtle appearance, FCD lesions are outliers but only to a similar degree</w:t>
      </w:r>
      <w:r>
        <w:t xml:space="preserve"> </w:t>
      </w:r>
      <w:r>
        <w:t xml:space="preserve">as some normal cortical regions.  In our feature space, FCDs appear</w:t>
      </w:r>
      <w:r>
        <w:t xml:space="preserve"> </w:t>
      </w:r>
      <w:r>
        <w:t xml:space="preserve">quite similar to some of these regions, such as paralimbic and</w:t>
      </w:r>
      <w:r>
        <w:t xml:space="preserve"> </w:t>
      </w:r>
      <w:r>
        <w:t xml:space="preserve">sensorimotor cortices.  These similarities should be kept in mind when</w:t>
      </w:r>
      <w:r>
        <w:t xml:space="preserve"> </w:t>
      </w:r>
      <w:r>
        <w:t xml:space="preserve">visually inspecting images to detect possible FCDs. They also help to</w:t>
      </w:r>
      <w:r>
        <w:t xml:space="preserve"> </w:t>
      </w:r>
      <w:r>
        <w:t xml:space="preserve">explain the utility of local normalization procedures in reducing false</w:t>
      </w:r>
      <w:r>
        <w:t xml:space="preserve"> </w:t>
      </w:r>
      <w:r>
        <w:t xml:space="preserve">positive detections.  Our resulting approach to automated FCD detection</w:t>
      </w:r>
      <w:r>
        <w:t xml:space="preserve"> </w:t>
      </w:r>
      <w:r>
        <w:t xml:space="preserve">is 80% sensitive and 70% specific, AUC 0.91, similar to or better than</w:t>
      </w:r>
      <w:r>
        <w:t xml:space="preserve"> </w:t>
      </w:r>
      <w:r>
        <w:t xml:space="preserve">many previously proposed methods, despite the relatively small size of</w:t>
      </w:r>
      <w:r>
        <w:t xml:space="preserve"> </w:t>
      </w:r>
      <w:r>
        <w:t xml:space="preserve">the training and testing data.  Our normative modeling approach also has</w:t>
      </w:r>
      <w:r>
        <w:t xml:space="preserve"> </w:t>
      </w:r>
      <w:r>
        <w:t xml:space="preserve">the potential to be of use in the detection of other types of pathology</w:t>
      </w:r>
      <w:r>
        <w:t xml:space="preserve"> </w:t>
      </w:r>
      <w:r>
        <w:t xml:space="preserve">or to study normal cortical variability.</w:t>
      </w:r>
    </w:p>
    <w:p>
      <w:pPr>
        <w:pStyle w:val="Heading1"/>
      </w:pPr>
      <w:bookmarkStart w:id="60" w:name="acknowledgements"/>
      <w:bookmarkEnd w:id="60"/>
      <w:r>
        <w:t xml:space="preserve">Acknowledgements</w:t>
      </w:r>
    </w:p>
    <w:p>
      <w:pPr>
        <w:pStyle w:val="FirstParagraph"/>
      </w:pPr>
      <w:r>
        <w:t xml:space="preserve">We are indebted to all patients and their families who have selflessly</w:t>
      </w:r>
      <w:r>
        <w:t xml:space="preserve"> </w:t>
      </w:r>
      <w:r>
        <w:t xml:space="preserve">volunteered their time to participate in this study. </w:t>
      </w:r>
    </w:p>
    <w:p>
      <w:pPr>
        <w:pStyle w:val="BodyText"/>
      </w:pPr>
      <w:r>
        <w:rPr>
          <w:b/>
        </w:rPr>
        <w:t xml:space="preserve">Funding:</w:t>
      </w:r>
      <w:r>
        <w:t xml:space="preserve">  This work was supported by the Intramural Research</w:t>
      </w:r>
      <w:r>
        <w:t xml:space="preserve"> </w:t>
      </w:r>
      <w:r>
        <w:t xml:space="preserve">Program of the National Institute of Neurological Disorders and Stroke,</w:t>
      </w:r>
      <w:r>
        <w:t xml:space="preserve"> </w:t>
      </w:r>
      <w:r>
        <w:t xml:space="preserve">NIH.</w:t>
      </w:r>
    </w:p>
    <w:p>
      <w:pPr>
        <w:pStyle w:val="BodyText"/>
      </w:pPr>
      <w:r>
        <w:rPr>
          <w:b/>
        </w:rPr>
        <w:t xml:space="preserve">Declarations of Interest:</w:t>
      </w:r>
      <w:r>
        <w:t xml:space="preserve"> </w:t>
      </w:r>
      <w:r>
        <w:t xml:space="preserve">None of the authors have any</w:t>
      </w:r>
      <w:r>
        <w:t xml:space="preserve"> </w:t>
      </w:r>
      <w:r>
        <w:t xml:space="preserve">conflicts of interest to disclose.</w:t>
      </w:r>
    </w:p>
    <w:p>
      <w:pPr>
        <w:pStyle w:val="Heading1"/>
      </w:pPr>
      <w:bookmarkStart w:id="61" w:name="references"/>
      <w:bookmarkEnd w:id="61"/>
      <w:r>
        <w:t xml:space="preserve">References</w:t>
      </w:r>
    </w:p>
    <w:p>
      <w:pPr>
        <w:pStyle w:val="FirstParagraph"/>
      </w:pPr>
      <w:r>
        <w:t xml:space="preserve">Adler, S., Lorio, S., Jacques, T.S., Benova, B., Gunny, R., Cross, J.H., Baldeweg, T., Carmichael, D.W., 2017.</w:t>
      </w:r>
      <w:r>
        <w:t xml:space="preserve"> </w:t>
      </w:r>
      <w:r>
        <w:t xml:space="preserve">Towards in vivo focal cortical dysplasia phenotyping using quantitative MRI.</w:t>
      </w:r>
      <w:r>
        <w:t xml:space="preserve">. Neuroimage Clin 15, 95–105.</w:t>
      </w:r>
    </w:p>
    <w:p>
      <w:pPr>
        <w:pStyle w:val="BodyText"/>
      </w:pPr>
      <w:r>
        <w:t xml:space="preserve">Adler, S., Wagstyl, K., Gunny, R., Ronan, L., Carmichael, D., Cross, J.H., Fletcher, P.C., Baldeweg, T., 2017.</w:t>
      </w:r>
      <w:r>
        <w:t xml:space="preserve"> </w:t>
      </w:r>
      <w:r>
        <w:t xml:space="preserve">Novel surface features for automated detection of focal cortical dysplasias in paediatric epilepsy.</w:t>
      </w:r>
      <w:r>
        <w:t xml:space="preserve">. Neuroimage Clin 14, 18–27.</w:t>
      </w:r>
    </w:p>
    <w:p>
      <w:pPr>
        <w:pStyle w:val="BodyText"/>
      </w:pPr>
      <w:r>
        <w:t xml:space="preserve">Ahmed, B., Brodley, C.E., Blackmon, K.E., Kuzniecky, R., Barash, G., Carlson, C., Quinn, B.T., Doyle, W., French, J., Devinsky, O., Thesen, T., 2015.</w:t>
      </w:r>
      <w:r>
        <w:t xml:space="preserve"> </w:t>
      </w:r>
      <w:r>
        <w:t xml:space="preserve">Cortical feature analysis and machine learning improves detection of MRI-negative focal cortical dysplasia.</w:t>
      </w:r>
      <w:r>
        <w:t xml:space="preserve">. Epilepsy Behav 48, 21–8.</w:t>
      </w:r>
    </w:p>
    <w:p>
      <w:pPr>
        <w:pStyle w:val="BodyText"/>
      </w:pPr>
      <w:r>
        <w:t xml:space="preserve">Amunts, K., Zilles, K., 2015.</w:t>
      </w:r>
      <w:r>
        <w:t xml:space="preserve"> </w:t>
      </w:r>
      <w:r>
        <w:t xml:space="preserve">Architectonic Mapping of the Human Brain beyond Brodmann.</w:t>
      </w:r>
      <w:r>
        <w:t xml:space="preserve">. Neuron 88, 1086–1107.</w:t>
      </w:r>
    </w:p>
    <w:p>
      <w:pPr>
        <w:pStyle w:val="BodyText"/>
      </w:pPr>
      <w:r>
        <w:t xml:space="preserve">Antel, S.B., Collins, D.L., Bernasconi, N., Andermann, F., Shinghal, R., Kearney, R.E., Arnold, D.L., Bernasconi, A., 2003.</w:t>
      </w:r>
      <w:r>
        <w:t xml:space="preserve"> </w:t>
      </w:r>
      <w:r>
        <w:t xml:space="preserve">Automated detection of focal cortical dysplasia lesions using computational models of their MRI characteristics and texture analysis.</w:t>
      </w:r>
      <w:r>
        <w:t xml:space="preserve">. Neuroimage 19, 1748–59.</w:t>
      </w:r>
    </w:p>
    <w:p>
      <w:pPr>
        <w:pStyle w:val="BodyText"/>
      </w:pPr>
      <w:r>
        <w:t xml:space="preserve">Bengio, Y., Courville, A., Vincent, P., 2013.</w:t>
      </w:r>
      <w:r>
        <w:t xml:space="preserve"> </w:t>
      </w:r>
      <w:r>
        <w:t xml:space="preserve">Representation learning: a review and new perspectives.</w:t>
      </w:r>
      <w:r>
        <w:t xml:space="preserve">. IEEE Trans Pattern Anal Mach Intell 35, 1798–828.</w:t>
      </w:r>
    </w:p>
    <w:p>
      <w:pPr>
        <w:pStyle w:val="BodyText"/>
      </w:pPr>
      <w:r>
        <w:t xml:space="preserve">Besson, P., Andermann, F., Dubeau, F., Bernasconi, A., 2008.</w:t>
      </w:r>
      <w:r>
        <w:t xml:space="preserve"> </w:t>
      </w:r>
      <w:r>
        <w:t xml:space="preserve">Small focal cortical dysplasia lesions are located at the bottom of a deep sulcus.</w:t>
      </w:r>
      <w:r>
        <w:t xml:space="preserve">. Brain 131, 3246–55.</w:t>
      </w:r>
    </w:p>
    <w:p>
      <w:pPr>
        <w:pStyle w:val="BodyText"/>
      </w:pPr>
      <w:r>
        <w:t xml:space="preserve">Bien, C.G., Szinay, M., Wagner, J., Clusmann, H., Becker, A.J., Urbach, H., 2009.</w:t>
      </w:r>
      <w:r>
        <w:t xml:space="preserve"> </w:t>
      </w:r>
      <w:r>
        <w:t xml:space="preserve">Characteristics and surgical outcomes of patients with refractory magnetic resonance imaging-negative epilepsies.</w:t>
      </w:r>
      <w:r>
        <w:t xml:space="preserve">. Arch Neurol 66, 1491–9.</w:t>
      </w:r>
    </w:p>
    <w:p>
      <w:pPr>
        <w:pStyle w:val="BodyText"/>
      </w:pPr>
      <w:r>
        <w:t xml:space="preserve">Blumcke, I., Spreafico, R., Haaker, G., Coras, R., Kobow, K., Bien, C.G., Pfäfflin, M., Elger, C., Widman, G., Schramm, J., Becker, A., Braun, K.P., Leijten, F., Baayen, J.C., Aronica, E., Chassoux, F., Hamer, H., Stefan, H., Rössler, K., Thom, M., Walker, M.C., Sisodiya, S.M., Duncan, J.S., McEvoy, A.W., Pieper, T., Holthausen, H., Kudernatsch, M., Meencke, H.J., Kahane, P., Schulze-Bonhage, A., Zentner, J., Heiland, D.H., Urbach, H., Steinhoff, B.J., Bast, T., Tassi, L., Lo, R.G., Özkara, C., Oz, B., Krsek, P., Vogelgesang, S., Runge, U., Lerche, H., Weber, Y., Honavar, M., Pimentel, J., Arzimanoglou, A., Ulate-Campos, A., Noachtar, S., Hartl, E., Schijns, O., Guerrini, R., Barba, C., Jacques, T.S., Cross, J.H., Feucht, M., Mühlebner, A., Grunwald, T., Trinka, E., Winkler, P.A., Gil-Nagel, A., Toledano, D.R., Mayer, T., Lutz, M., Zountsas, B., Garganis, K., Rosenow, F., Hermsen, A., von, O.T.J., Diepgen, T.L., Avanzini, G., 2017.</w:t>
      </w:r>
      <w:r>
        <w:t xml:space="preserve"> </w:t>
      </w:r>
      <w:r>
        <w:t xml:space="preserve">Histopathological Findings in Brain Tissue Obtained during Epilepsy Surgery.</w:t>
      </w:r>
      <w:r>
        <w:t xml:space="preserve">. N Engl J Med 377, 1648–1656.</w:t>
      </w:r>
    </w:p>
    <w:p>
      <w:pPr>
        <w:pStyle w:val="BodyText"/>
      </w:pPr>
      <w:r>
        <w:t xml:space="preserve">Blümcke, I., Thom, M., Aronica, E., Armstrong, D.D., Vinters, H.V., Palmini, A., Jacques, T.S., Avanzini, G., Barkovich, A.J., Battaglia, G., Becker, A., Cepeda, C., Cendes, F., Colombo, N., Crino, P., Cross, J.H., Delalande, O., Dubeau, F., Duncan, J., Guerrini, R., Kahane, P., Mathern, G., Najm, I., Ozkara, C., Raybaud, C., Represa, A., Roper, S.N., Salamon, N., Schulze-Bonhage, A., Tassi, L., Vezzani, A., Spreafico, R., 2011.</w:t>
      </w:r>
      <w:r>
        <w:t xml:space="preserve"> </w:t>
      </w:r>
      <w:r>
        <w:t xml:space="preserve">The clinicopathologic spectrum of focal cortical dysplasias: a consensus classification proposed by an ad hoc Task Force of the ILAE Diagnostic Methods Commission.</w:t>
      </w:r>
      <w:r>
        <w:t xml:space="preserve">. Epilepsia 52, 158–74.</w:t>
      </w:r>
    </w:p>
    <w:p>
      <w:pPr>
        <w:pStyle w:val="BodyText"/>
      </w:pPr>
      <w:r>
        <w:t xml:space="preserve">Carandini, M., Heeger, D.J., 2011.</w:t>
      </w:r>
      <w:r>
        <w:t xml:space="preserve"> </w:t>
      </w:r>
      <w:r>
        <w:t xml:space="preserve">Normalization as a canonical neural computation.</w:t>
      </w:r>
      <w:r>
        <w:t xml:space="preserve">. Nat Rev Neurosci 13, 51–62.</w:t>
      </w:r>
    </w:p>
    <w:p>
      <w:pPr>
        <w:pStyle w:val="BodyText"/>
      </w:pPr>
      <w:r>
        <w:t xml:space="preserve">Cohen, J., 1988.</w:t>
      </w:r>
      <w:r>
        <w:t xml:space="preserve"> </w:t>
      </w:r>
      <w:r>
        <w:t xml:space="preserve">Statistical power analysis for the behavioral sciences</w:t>
      </w:r>
      <w:r>
        <w:t xml:space="preserve">. L. Erlbaum Associates, Hillsdale, N.J.</w:t>
      </w:r>
    </w:p>
    <w:p>
      <w:pPr>
        <w:pStyle w:val="BodyText"/>
      </w:pPr>
      <w:r>
        <w:t xml:space="preserve">Cox, R.W., 1996.</w:t>
      </w:r>
      <w:r>
        <w:t xml:space="preserve"> </w:t>
      </w:r>
      <w:r>
        <w:t xml:space="preserve">AFNI: software for analysis and visualization of functional magnetic resonance neuroimages.</w:t>
      </w:r>
      <w:r>
        <w:t xml:space="preserve">. Comput Biomed Res 29, 162–73.</w:t>
      </w:r>
    </w:p>
    <w:p>
      <w:pPr>
        <w:pStyle w:val="BodyText"/>
      </w:pPr>
      <w:r>
        <w:t xml:space="preserve">Dale, A.M., Fischl, B., Sereno, M.I., 1999.</w:t>
      </w:r>
      <w:r>
        <w:t xml:space="preserve"> </w:t>
      </w:r>
      <w:r>
        <w:t xml:space="preserve">Cortical surface-based analysis. I. Segmentation and surface reconstruction.</w:t>
      </w:r>
      <w:r>
        <w:t xml:space="preserve">. Neuroimage 9, 179–94.</w:t>
      </w:r>
    </w:p>
    <w:p>
      <w:pPr>
        <w:pStyle w:val="BodyText"/>
      </w:pPr>
      <w:r>
        <w:t xml:space="preserve">Fischl, B., Sereno, M.I., Dale, A.M., 1999.</w:t>
      </w:r>
      <w:r>
        <w:t xml:space="preserve"> </w:t>
      </w:r>
      <w:r>
        <w:t xml:space="preserve">Cortical surface-based analysis. II: Inflation, flattening, and a surface-based coordinate system.</w:t>
      </w:r>
      <w:r>
        <w:t xml:space="preserve">. Neuroimage 9, 195–207.</w:t>
      </w:r>
    </w:p>
    <w:p>
      <w:pPr>
        <w:pStyle w:val="BodyText"/>
      </w:pPr>
      <w:r>
        <w:t xml:space="preserve">Ganzetti, M., Wenderoth, N., Mantini, D., 2016.</w:t>
      </w:r>
      <w:r>
        <w:t xml:space="preserve"> </w:t>
      </w:r>
      <w:r>
        <w:t xml:space="preserve">Intensity Inhomogeneity Correction of Structural MR Images: A Data-Driven Approach to Define Input Algorithm Parameters.</w:t>
      </w:r>
      <w:r>
        <w:t xml:space="preserve">. Front Neuroinform 10, 10.</w:t>
      </w:r>
    </w:p>
    <w:p>
      <w:pPr>
        <w:pStyle w:val="BodyText"/>
      </w:pPr>
      <w:r>
        <w:t xml:space="preserve">Glasser, M.F., Essen, D.C.V., 2011.</w:t>
      </w:r>
      <w:r>
        <w:t xml:space="preserve"> </w:t>
      </w:r>
      <w:r>
        <w:t xml:space="preserve">Mapping Human Cortical Areas In Vivo Based on Myelin Content as Revealed by T1- and T2-Weighted</w:t>
      </w:r>
      <w:r>
        <w:t xml:space="preserve"> </w:t>
      </w:r>
      <w:r>
        <w:t xml:space="preserve">MRI</w:t>
      </w:r>
      <w:r>
        <w:t xml:space="preserve">. Journal of Neuroscience 31, 11597–11616.</w:t>
      </w:r>
      <w:r>
        <w:t xml:space="preserve"> </w:t>
      </w:r>
      <w:hyperlink r:id="rId62">
        <w:r>
          <w:rPr>
            <w:rStyle w:val="Hyperlink"/>
          </w:rPr>
          <w:t xml:space="preserve">https://doi.org/10.1523/jneurosci.2180-11.2011</w:t>
        </w:r>
      </w:hyperlink>
    </w:p>
    <w:p>
      <w:pPr>
        <w:pStyle w:val="BodyText"/>
      </w:pPr>
      <w:r>
        <w:t xml:space="preserve">Glasser, M.F., Van, E.D.C., 2011.</w:t>
      </w:r>
      <w:r>
        <w:t xml:space="preserve"> </w:t>
      </w:r>
      <w:r>
        <w:t xml:space="preserve">Mapping human cortical areas in vivo based on myelin content as revealed by T1- and T2-weighted MRI.</w:t>
      </w:r>
      <w:r>
        <w:t xml:space="preserve">. J Neurosci 31, 11597–616.</w:t>
      </w:r>
    </w:p>
    <w:p>
      <w:pPr>
        <w:pStyle w:val="BodyText"/>
      </w:pPr>
      <w:r>
        <w:t xml:space="preserve">Hong, S.J., Bernhardt, B.C., Caldairou, B., Hall, J.A., Guiot, M.C., Schrader, D., Bernasconi, N., Bernasconi, A., 2017.</w:t>
      </w:r>
      <w:r>
        <w:t xml:space="preserve"> </w:t>
      </w:r>
      <w:r>
        <w:t xml:space="preserve">Multimodal MRI profiling of focal cortical dysplasia type II.</w:t>
      </w:r>
      <w:r>
        <w:t xml:space="preserve">. Neurology 88, 734–742.</w:t>
      </w:r>
    </w:p>
    <w:p>
      <w:pPr>
        <w:pStyle w:val="BodyText"/>
      </w:pPr>
      <w:r>
        <w:t xml:space="preserve">Hong, S.J., Kim, H., Schrader, D., Bernasconi, N., Bernhardt, B.C., Bernasconi, A., 2014.</w:t>
      </w:r>
      <w:r>
        <w:t xml:space="preserve"> </w:t>
      </w:r>
      <w:r>
        <w:t xml:space="preserve">Automated detection of cortical dysplasia type II in MRI-negative epilepsy.</w:t>
      </w:r>
      <w:r>
        <w:t xml:space="preserve">. Neurology 83, 48–55.</w:t>
      </w:r>
    </w:p>
    <w:p>
      <w:pPr>
        <w:pStyle w:val="BodyText"/>
      </w:pPr>
      <w:r>
        <w:t xml:space="preserve">Huppertz, H.J., Grimm, C., Fauser, S., Kassubek, J., Mader, I., Hochmuth, A., Spreer, J., Schulze-Bonhage, A., 2005.</w:t>
      </w:r>
      <w:r>
        <w:t xml:space="preserve"> </w:t>
      </w:r>
      <w:r>
        <w:t xml:space="preserve">Enhanced visualization of blurred gray-white matter junctions in focal cortical dysplasia by voxel-based 3D MRI analysis.</w:t>
      </w:r>
      <w:r>
        <w:t xml:space="preserve">. Epilepsy Res 67, 35–50.</w:t>
      </w:r>
    </w:p>
    <w:p>
      <w:pPr>
        <w:pStyle w:val="BodyText"/>
      </w:pPr>
      <w:r>
        <w:t xml:space="preserve">Jin, B., Krishnan, B., Adler, S., Wagstyl, K., Hu, W., Jones, S., Najm, I., Alexopoulos, A., Zhang, K., Zhang, J., Ding, M., Wang, S., Wang, Z.I., 2018.</w:t>
      </w:r>
      <w:r>
        <w:t xml:space="preserve"> </w:t>
      </w:r>
      <w:r>
        <w:t xml:space="preserve">Automated detection of focal cortical dysplasia type II with surface-based magnetic resonance imaging postprocessing and machine learning.</w:t>
      </w:r>
      <w:r>
        <w:t xml:space="preserve">. Epilepsia 59, 982–992.</w:t>
      </w:r>
    </w:p>
    <w:p>
      <w:pPr>
        <w:pStyle w:val="BodyText"/>
      </w:pPr>
      <w:r>
        <w:t xml:space="preserve">Joyseeree, R., Müller, H., Depeursinge, A., 2018.</w:t>
      </w:r>
      <w:r>
        <w:t xml:space="preserve"> </w:t>
      </w:r>
      <w:r>
        <w:t xml:space="preserve">Rotation-covariant tissue analysis for interstitial lung diseases using learned steerable filters: Performance evaluation and relevance for diagnostic aid.</w:t>
      </w:r>
      <w:r>
        <w:t xml:space="preserve">. Comput Med Imaging Graph 64, 1–11.</w:t>
      </w:r>
    </w:p>
    <w:p>
      <w:pPr>
        <w:pStyle w:val="BodyText"/>
      </w:pPr>
      <w:r>
        <w:t xml:space="preserve">Kini, L.G., Gee, J.C., Litt, B., 2016.</w:t>
      </w:r>
      <w:r>
        <w:t xml:space="preserve"> </w:t>
      </w:r>
      <w:r>
        <w:t xml:space="preserve">Computational analysis in epilepsy neuroimaging: A survey of features and methods.</w:t>
      </w:r>
      <w:r>
        <w:t xml:space="preserve">. Neuroimage Clin 11, 515–529.</w:t>
      </w:r>
    </w:p>
    <w:p>
      <w:pPr>
        <w:pStyle w:val="BodyText"/>
      </w:pPr>
      <w:r>
        <w:t xml:space="preserve">Laparra, V., Camps-Valls, G., Malo, J., 2011.</w:t>
      </w:r>
      <w:r>
        <w:t xml:space="preserve"> </w:t>
      </w:r>
      <w:r>
        <w:t xml:space="preserve">Iterative Gaussianization: from ICA to random rotations.</w:t>
      </w:r>
      <w:r>
        <w:t xml:space="preserve">. IEEE Trans Neural Netw 22, 537–49.</w:t>
      </w:r>
    </w:p>
    <w:p>
      <w:pPr>
        <w:pStyle w:val="BodyText"/>
      </w:pPr>
      <w:r>
        <w:t xml:space="preserve">Laparra, V., Camps-Valls, G., Malo, J., 2011.</w:t>
      </w:r>
      <w:r>
        <w:t xml:space="preserve"> </w:t>
      </w:r>
      <w:r>
        <w:t xml:space="preserve">Iterative Gaussianization: From</w:t>
      </w:r>
      <w:r>
        <w:t xml:space="preserve"> </w:t>
      </w:r>
      <w:r>
        <w:t xml:space="preserve">ICA</w:t>
      </w:r>
      <w:r>
        <w:t xml:space="preserve"> </w:t>
      </w:r>
      <w:r>
        <w:t xml:space="preserve">to Random Rotations</w:t>
      </w:r>
      <w:r>
        <w:t xml:space="preserve">.</w:t>
      </w:r>
      <w:r>
        <w:t xml:space="preserve"> </w:t>
      </w:r>
      <w:r>
        <w:t xml:space="preserve">IEEE</w:t>
      </w:r>
      <w:r>
        <w:t xml:space="preserve"> </w:t>
      </w:r>
      <w:r>
        <w:t xml:space="preserve">Transactions on Neural Networks 22, 537–549.</w:t>
      </w:r>
      <w:r>
        <w:t xml:space="preserve"> </w:t>
      </w:r>
      <w:hyperlink r:id="rId63">
        <w:r>
          <w:rPr>
            <w:rStyle w:val="Hyperlink"/>
          </w:rPr>
          <w:t xml:space="preserve">https://doi.org/10.1109/tnn.2011.2106511</w:t>
        </w:r>
      </w:hyperlink>
    </w:p>
    <w:p>
      <w:pPr>
        <w:pStyle w:val="BodyText"/>
      </w:pPr>
      <w:r>
        <w:t xml:space="preserve">Lerner, J.T., Salamon, N., Hauptman, J.S., Velasco, T.R., Hemb, M., Wu, J.Y., Sankar, R., Donald, S.W., Engel, J.J., Fried, I., Cepeda, C., Andre, V.M., Levine, M.S., Miyata, H., Yong, W.H., Vinters, H.V., Mathern, G.W., 2009.</w:t>
      </w:r>
      <w:r>
        <w:t xml:space="preserve"> </w:t>
      </w:r>
      <w:r>
        <w:t xml:space="preserve">Assessment and surgical outcomes for mild type I and severe type II cortical dysplasia: a critical review and the UCLA experience.</w:t>
      </w:r>
      <w:r>
        <w:t xml:space="preserve">. Epilepsia 50, 1310–35.</w:t>
      </w:r>
    </w:p>
    <w:p>
      <w:pPr>
        <w:pStyle w:val="BodyText"/>
      </w:pPr>
      <w:r>
        <w:t xml:space="preserve">Martin, P., Winston, G.P., Bartlett, P., de, T.J., Duncan, J.S., Focke, N.K., 2017.</w:t>
      </w:r>
      <w:r>
        <w:t xml:space="preserve"> </w:t>
      </w:r>
      <w:r>
        <w:t xml:space="preserve">Voxel-based magnetic resonance image postprocessing in epilepsy.</w:t>
      </w:r>
      <w:r>
        <w:t xml:space="preserve">. Epilepsia 58, 1653–1664.</w:t>
      </w:r>
    </w:p>
    <w:p>
      <w:pPr>
        <w:pStyle w:val="BodyText"/>
      </w:pPr>
      <w:r>
        <w:t xml:space="preserve">Nieuwenhuys, R., Broere, C.A., 2017.</w:t>
      </w:r>
      <w:r>
        <w:t xml:space="preserve"> </w:t>
      </w:r>
      <w:r>
        <w:t xml:space="preserve">A map of the human neocortex showing the estimated overall myelin content of the individual architectonic areas based on the studies of Adolf Hopf.</w:t>
      </w:r>
      <w:r>
        <w:t xml:space="preserve">. Brain Struct Funct 222, 465–480.</w:t>
      </w:r>
    </w:p>
    <w:p>
      <w:pPr>
        <w:pStyle w:val="BodyText"/>
      </w:pPr>
      <w:r>
        <w:t xml:space="preserve">Paquola, C., Vos, D.W.R., Wagstyl, K., Bethlehem, R.A.I., Hong, S.J., Seidlitz, J., Bullmore, E.T., Evans, A.C., Misic, B., Margulies, D.S., Smallwood, J., Bernhardt, B.C., 2019.</w:t>
      </w:r>
      <w:r>
        <w:t xml:space="preserve"> </w:t>
      </w:r>
      <w:r>
        <w:t xml:space="preserve">Microstructural and functional gradients are increasingly dissociated in transmodal cortices.</w:t>
      </w:r>
      <w:r>
        <w:t xml:space="preserve">. PLoS Biol 17, e3000284.</w:t>
      </w:r>
    </w:p>
    <w:p>
      <w:pPr>
        <w:pStyle w:val="BodyText"/>
      </w:pPr>
      <w:r>
        <w:t xml:space="preserve">Pedregosa, F., Varoquaux, G., Gramfort, A., Michel, V., Thirion, B., Grisel, O., Blondel, M., Prettenhofer, P., Weiss, R., Dubourg, V., Vanderplas, J., Passos, A., Cournapeau, D., Brucher, M., Perrot, M., Duchesnay, E., 2011.</w:t>
      </w:r>
      <w:r>
        <w:t xml:space="preserve"> </w:t>
      </w:r>
      <w:r>
        <w:t xml:space="preserve">Scikit-learn: Machine Learning in</w:t>
      </w:r>
      <w:r>
        <w:t xml:space="preserve"> </w:t>
      </w:r>
      <w:r>
        <w:t xml:space="preserve">P</w:t>
      </w:r>
      <w:r>
        <w:t xml:space="preserve">ython</w:t>
      </w:r>
      <w:r>
        <w:t xml:space="preserve">. Journal of Machine Learning Research 12, 2825–2830.</w:t>
      </w:r>
    </w:p>
    <w:p>
      <w:pPr>
        <w:pStyle w:val="BodyText"/>
      </w:pPr>
      <w:r>
        <w:t xml:space="preserve">Portilla, J., Strela, V., Wainwright, M.J., Simoncelli, E.P., 2003.</w:t>
      </w:r>
      <w:r>
        <w:t xml:space="preserve"> </w:t>
      </w:r>
      <w:r>
        <w:t xml:space="preserve">Image denoising using scale mixtures of Gaussians in the wavelet domain.</w:t>
      </w:r>
      <w:r>
        <w:t xml:space="preserve">. IEEE Trans Image Process 12, 1338–51.</w:t>
      </w:r>
    </w:p>
    <w:p>
      <w:pPr>
        <w:pStyle w:val="BodyText"/>
      </w:pPr>
      <w:r>
        <w:t xml:space="preserve">Selvaganesan, K., Whitehead, E., DeAlwis, P.M., Schindler, M.K., Inati, S., Saad, Z.S., Ohayon, J.E., Cortese, I.C.M., Smith, B., Steven, J., Nath, A., Reich, D.S., Inati, S., Nair, G., 2019.</w:t>
      </w:r>
      <w:r>
        <w:t xml:space="preserve"> </w:t>
      </w:r>
      <w:r>
        <w:t xml:space="preserve">Robust, atlas-free, automatic segmentation of brain MRI in health and disease.</w:t>
      </w:r>
      <w:r>
        <w:t xml:space="preserve">. Heliyon 5, e01226.</w:t>
      </w:r>
    </w:p>
    <w:p>
      <w:pPr>
        <w:pStyle w:val="BodyText"/>
      </w:pPr>
      <w:r>
        <w:t xml:space="preserve">Simoncelli, E.P., Olshausen, B.A., 2001.</w:t>
      </w:r>
      <w:r>
        <w:t xml:space="preserve"> </w:t>
      </w:r>
      <w:r>
        <w:t xml:space="preserve">Natural image statistics and neural representation.</w:t>
      </w:r>
      <w:r>
        <w:t xml:space="preserve">. Annu Rev Neurosci 24, 1193–216.</w:t>
      </w:r>
    </w:p>
    <w:p>
      <w:pPr>
        <w:pStyle w:val="BodyText"/>
      </w:pPr>
      <w:r>
        <w:t xml:space="preserve">Triarhou, L.C., 2007.</w:t>
      </w:r>
      <w:r>
        <w:t xml:space="preserve"> </w:t>
      </w:r>
      <w:r>
        <w:t xml:space="preserve">The Economo-Koskinas atlas revisited: cytoarchitectonics and functional context.</w:t>
      </w:r>
      <w:r>
        <w:t xml:space="preserve">. Stereotact Funct Neurosurg 85, 195–203.</w:t>
      </w:r>
    </w:p>
    <w:p>
      <w:pPr>
        <w:pStyle w:val="BodyText"/>
      </w:pPr>
      <w:r>
        <w:t xml:space="preserve">Téllez-Zenteno, J.F., Hernández, R.L., Moien-Afshari, F., Wiebe, S., 2010.</w:t>
      </w:r>
      <w:r>
        <w:t xml:space="preserve"> </w:t>
      </w:r>
      <w:r>
        <w:t xml:space="preserve">Surgical outcomes in lesional and non-lesional epilepsy: a systematic review and meta-analysis.</w:t>
      </w:r>
      <w:r>
        <w:t xml:space="preserve">. Epilepsy Res 89, 310–8.</w:t>
      </w:r>
    </w:p>
    <w:p>
      <w:pPr>
        <w:pStyle w:val="BodyText"/>
      </w:pPr>
      <w:r>
        <w:t xml:space="preserve">Wagner, J., Weber, B., Urbach, H., Elger, C.E., Huppertz, H.J., 2011.</w:t>
      </w:r>
      <w:r>
        <w:t xml:space="preserve"> </w:t>
      </w:r>
      <w:r>
        <w:t xml:space="preserve">Morphometric MRI analysis improves detection of focal cortical dysplasia type II.</w:t>
      </w:r>
      <w:r>
        <w:t xml:space="preserve">. Brain 134, 2844–54.</w:t>
      </w:r>
    </w:p>
    <w:p>
      <w:pPr>
        <w:pStyle w:val="BodyText"/>
      </w:pPr>
      <w:r>
        <w:t xml:space="preserve">Wang, Q., Zheng, Y., Yang, G., Jin, W., Chen, X., Yin, Y., 2018.</w:t>
      </w:r>
      <w:r>
        <w:t xml:space="preserve"> </w:t>
      </w:r>
      <w:r>
        <w:t xml:space="preserve">Multiscale Rotation-Invariant Convolutional Neural Networks for Lung Texture Classification.</w:t>
      </w:r>
      <w:r>
        <w:t xml:space="preserve">. IEEE J Biomed Health Inform 22, 184–195.</w:t>
      </w:r>
    </w:p>
    <w:p>
      <w:pPr>
        <w:pStyle w:val="BodyText"/>
      </w:pPr>
      <w:r>
        <w:t xml:space="preserve">Wang, Z.I., Jones, S.E., Jaisani, Z., Najm, I.M., Prayson, R.A., Burgess, R.C., Krishnan, B., Ristic, A., Wong, C.H., Bingaman, W., Gonzalez-Martinez, J.A., Alexopoulos, A.V., 2015.</w:t>
      </w:r>
      <w:r>
        <w:t xml:space="preserve"> </w:t>
      </w:r>
      <w:r>
        <w:t xml:space="preserve">Voxel-based morphometric magnetic resonance imaging (MRI) postprocessing in MRI-negative epilepsies.</w:t>
      </w:r>
      <w:r>
        <w:t xml:space="preserve">. Ann Neurol 77, 1060–75.</w:t>
      </w:r>
    </w:p>
    <w:p>
      <w:pPr>
        <w:pStyle w:val="BodyText"/>
      </w:pPr>
      <w:r>
        <w:t xml:space="preserve">Zacharaki, E.I., Wang, S., Chawla, S., Soo, Y.D., Wolf, R., Melhem, E.R., Davatzikos, C., 2009.</w:t>
      </w:r>
      <w:r>
        <w:t xml:space="preserve"> </w:t>
      </w:r>
      <w:r>
        <w:t xml:space="preserve">Classification of brain tumor type and grade using MRI texture and shape in a machine learning scheme.</w:t>
      </w:r>
      <w:r>
        <w:t xml:space="preserve">. Magn Reson Med 62, 1609–18.</w:t>
      </w:r>
    </w:p>
    <w:p>
      <w:pPr>
        <w:pStyle w:val="BodyText"/>
      </w:pPr>
      <w:r>
        <w:t xml:space="preserve">Zilles, K., Amunts, K., 2010.</w:t>
      </w:r>
      <w:r>
        <w:t xml:space="preserve"> </w:t>
      </w:r>
      <w:r>
        <w:t xml:space="preserve">Centenary of Brodmann’s map–conception and fate.</w:t>
      </w:r>
      <w:r>
        <w:t xml:space="preserve">. Nat Rev Neurosci 11, 139–45.</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1b7d20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2b8a83e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abstractNum w:abstractNumId="991">
    <w:nsid w:val="b27035d2"/>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1"/>
  </w:num>
  <w:num w:numId="100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6" Target="media/rId36.png" /><Relationship Type="http://schemas.openxmlformats.org/officeDocument/2006/relationships/image" Id="rId46" Target="media/rId46.png" /><Relationship Type="http://schemas.openxmlformats.org/officeDocument/2006/relationships/image" Id="rId48" Target="media/rId48.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32" Target="media/rId32.png" /><Relationship Type="http://schemas.openxmlformats.org/officeDocument/2006/relationships/hyperlink" Id="rId35" Target="http://github.com/InatiLab/jem" TargetMode="External" /><Relationship Type="http://schemas.openxmlformats.org/officeDocument/2006/relationships/hyperlink" Id="rId63" Target="https://doi.org/10.1109/tnn.2011.2106511" TargetMode="External" /><Relationship Type="http://schemas.openxmlformats.org/officeDocument/2006/relationships/hyperlink" Id="rId62" Target="https://doi.org/10.1523/jneurosci.2180-11.2011" TargetMode="External" /><Relationship Type="http://schemas.openxmlformats.org/officeDocument/2006/relationships/hyperlink" Id="rId34" Target="https://github.com/InatiLab/jem" TargetMode="External" /><Relationship Type="http://schemas.openxmlformats.org/officeDocument/2006/relationships/hyperlink" Id="rId57" Target="https://meldproject.github.io" TargetMode="External" /><Relationship Type="http://schemas.openxmlformats.org/officeDocument/2006/relationships/hyperlink" Id="rId58" Target="https://meldproject.github.io/" TargetMode="External" /><Relationship Type="http://schemas.openxmlformats.org/officeDocument/2006/relationships/hyperlink" Id="rId28" Target="https://surfer.nmr.mgh.harvard.edu" TargetMode="External" /><Relationship Type="http://schemas.openxmlformats.org/officeDocument/2006/relationships/hyperlink" Id="rId21" Target="mailto:sara.inati@nih.gov" TargetMode="External" /></Relationships>
</file>

<file path=word/_rels/footnotes.xml.rels><?xml version="1.0" encoding="UTF-8"?>
<Relationships xmlns="http://schemas.openxmlformats.org/package/2006/relationships"><Relationship Type="http://schemas.openxmlformats.org/officeDocument/2006/relationships/hyperlink" Id="rId35" Target="http://github.com/InatiLab/jem" TargetMode="External" /><Relationship Type="http://schemas.openxmlformats.org/officeDocument/2006/relationships/hyperlink" Id="rId63" Target="https://doi.org/10.1109/tnn.2011.2106511" TargetMode="External" /><Relationship Type="http://schemas.openxmlformats.org/officeDocument/2006/relationships/hyperlink" Id="rId62" Target="https://doi.org/10.1523/jneurosci.2180-11.2011" TargetMode="External" /><Relationship Type="http://schemas.openxmlformats.org/officeDocument/2006/relationships/hyperlink" Id="rId34" Target="https://github.com/InatiLab/jem" TargetMode="External" /><Relationship Type="http://schemas.openxmlformats.org/officeDocument/2006/relationships/hyperlink" Id="rId57" Target="https://meldproject.github.io" TargetMode="External" /><Relationship Type="http://schemas.openxmlformats.org/officeDocument/2006/relationships/hyperlink" Id="rId58" Target="https://meldproject.github.io/" TargetMode="External" /><Relationship Type="http://schemas.openxmlformats.org/officeDocument/2006/relationships/hyperlink" Id="rId28" Target="https://surfer.nmr.mgh.harvard.edu" TargetMode="External" /><Relationship Type="http://schemas.openxmlformats.org/officeDocument/2006/relationships/hyperlink" Id="rId21" Target="mailto:sara.inati@nih.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Distinguishing Type II Focal Cortical Dysplasias from Normal Cortex: A Novel Normative Modeling Approach</dc:title>
  <dc:creator>Kathryn Snyder; Emily P. Whitehead; William H. Theodore; Kareem A. Zaghloul; Souheil J. Inati; Sara K. Inati</dc:creator>
  <dcterms:created xsi:type="dcterms:W3CDTF">2020-11-16T04:19:05Z</dcterms:created>
  <dcterms:modified xsi:type="dcterms:W3CDTF">2020-11-16T04:19:05Z</dcterms:modified>
</cp:coreProperties>
</file>