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36.png" ContentType="image/png"/>
  <Override PartName="/word/media/rId32.png" ContentType="image/png"/>
  <Override PartName="/word/media/rId35.png" ContentType="image/png"/>
  <Override PartName="/word/media/rId39.png" ContentType="image/png"/>
  <Override PartName="/word/media/rId33.png" ContentType="image/png"/>
  <Override PartName="/word/media/rId34.png" ContentType="image/png"/>
  <Override PartName="/word/media/rId41.png" ContentType="image/png"/>
  <Override PartName="/word/media/rId42.png" ContentType="image/png"/>
  <Override PartName="/word/media/rId43.png" ContentType="image/png"/>
  <Override PartName="/word/media/rId26.png" ContentType="image/png"/>
  <Override PartName="/word/media/rId38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Human-earth</w:t>
      </w:r>
      <w:r>
        <w:t xml:space="preserve"> </w:t>
      </w:r>
      <w:r>
        <w:t xml:space="preserve">system</w:t>
      </w:r>
      <w:r>
        <w:t xml:space="preserve"> </w:t>
      </w:r>
      <w:r>
        <w:t xml:space="preserve">feedbacks</w:t>
      </w:r>
      <w:r>
        <w:t xml:space="preserve"> </w:t>
      </w:r>
      <w:r>
        <w:t xml:space="preserve">in</w:t>
      </w:r>
      <w:r>
        <w:t xml:space="preserve"> </w:t>
      </w:r>
      <w:r>
        <w:t xml:space="preserve">HDD/CDD</w:t>
      </w:r>
      <w:r>
        <w:t xml:space="preserve"> </w:t>
      </w:r>
      <w:r>
        <w:t xml:space="preserve">      </w:t>
      </w:r>
    </w:p>
    <w:p>
      <w:pPr>
        <w:pStyle w:val="Author"/>
      </w:pPr>
      <w:r>
        <w:t xml:space="preserve">Corinne</w:t>
      </w:r>
      <w:r>
        <w:t xml:space="preserve"> </w:t>
      </w:r>
      <w:r>
        <w:t xml:space="preserve">Hartin</w:t>
      </w:r>
    </w:p>
    <w:p>
      <w:pPr>
        <w:pStyle w:val="Author"/>
      </w:pPr>
      <w:r>
        <w:t xml:space="preserve">Robert</w:t>
      </w:r>
      <w:r>
        <w:t xml:space="preserve"> </w:t>
      </w:r>
      <w:r>
        <w:t xml:space="preserve">Link</w:t>
      </w:r>
    </w:p>
    <w:p>
      <w:pPr>
        <w:pStyle w:val="Author"/>
      </w:pPr>
      <w:r>
        <w:t xml:space="preserve">Pralit</w:t>
      </w:r>
      <w:r>
        <w:t xml:space="preserve"> </w:t>
      </w:r>
      <w:r>
        <w:t xml:space="preserve">Patel</w:t>
      </w:r>
    </w:p>
    <w:p>
      <w:pPr>
        <w:pStyle w:val="Author"/>
      </w:pPr>
      <w:r>
        <w:t xml:space="preserve">Russell</w:t>
      </w:r>
      <w:r>
        <w:t xml:space="preserve"> </w:t>
      </w:r>
      <w:r>
        <w:t xml:space="preserve">Horowitz</w:t>
      </w:r>
    </w:p>
    <w:p>
      <w:pPr>
        <w:pStyle w:val="FirstParagraph"/>
      </w:pPr>
      <w:r>
        <w:br w:type="textWrapping"/>
      </w:r>
    </w:p>
    <w:p>
      <w:pPr>
        <w:pStyle w:val="Heading1"/>
      </w:pPr>
      <w:bookmarkStart w:id="21" w:name="introduction"/>
      <w:bookmarkEnd w:id="21"/>
      <w:r>
        <w:t xml:space="preserve">Introduction</w:t>
      </w:r>
    </w:p>
    <w:p>
      <w:pPr>
        <w:pStyle w:val="FirstParagraph"/>
      </w:pPr>
      <w:r>
        <w:t xml:space="preserve"> </w:t>
      </w:r>
      <w:r>
        <w:t xml:space="preserve">The human and earth systems are intricately linked, where human</w:t>
      </w:r>
      <w:r>
        <w:t xml:space="preserve"> </w:t>
      </w:r>
      <w:r>
        <w:t xml:space="preserve">decisions influence the earth and changes in the earth influence human</w:t>
      </w:r>
      <w:r>
        <w:t xml:space="preserve"> </w:t>
      </w:r>
      <w:r>
        <w:t xml:space="preserve">decisions.  The building sector is particularly susceptible to</w:t>
      </w:r>
      <w:r>
        <w:t xml:space="preserve"> </w:t>
      </w:r>
      <w:r>
        <w:t xml:space="preserve">human-earth system feedbacks due to the fact that the demand for cooling</w:t>
      </w:r>
      <w:r>
        <w:t xml:space="preserve"> </w:t>
      </w:r>
      <w:r>
        <w:t xml:space="preserve">and heating is directly related to temperature.  With increasing</w:t>
      </w:r>
      <w:r>
        <w:t xml:space="preserve"> </w:t>
      </w:r>
      <w:r>
        <w:t xml:space="preserve">temperatures, the global demand for heating is projected to decrease,</w:t>
      </w:r>
      <w:r>
        <w:t xml:space="preserve"> </w:t>
      </w:r>
      <w:r>
        <w:t xml:space="preserve">while the demand for cooling is projected to</w:t>
      </w:r>
      <w:r>
        <w:t xml:space="preserve"> </w:t>
      </w:r>
      <w:r>
        <w:t xml:space="preserve">increase (Li, Yang, &amp; Lam, 2012; Isaac &amp; van Vuuren, 2009).  The building sector is not insignificant,</w:t>
      </w:r>
      <w:r>
        <w:t xml:space="preserve"> </w:t>
      </w:r>
      <w:r>
        <w:t xml:space="preserve">for example in the USA, heating and cooling energy accounts for about</w:t>
      </w:r>
      <w:r>
        <w:t xml:space="preserve"> </w:t>
      </w:r>
      <w:r>
        <w:t xml:space="preserve">49% of all final energy in residential buildings and 44% in</w:t>
      </w:r>
      <w:r>
        <w:t xml:space="preserve"> </w:t>
      </w:r>
      <w:r>
        <w:t xml:space="preserve">commercial buildings in 2005 (Kyle et al., 2010).  these increased</w:t>
      </w:r>
      <w:r>
        <w:t xml:space="preserve"> </w:t>
      </w:r>
      <w:r>
        <w:t xml:space="preserve">temperatures will alter the balance between heating and cooling needs,</w:t>
      </w:r>
      <w:r>
        <w:t xml:space="preserve"> </w:t>
      </w:r>
      <w:r>
        <w:t xml:space="preserve">causing regions with moderate climates to warm, shifting some locations</w:t>
      </w:r>
      <w:r>
        <w:t xml:space="preserve"> </w:t>
      </w:r>
      <w:r>
        <w:t xml:space="preserve">from primarily heating to primarily cooling (Auffhammer &amp; Mansur, 2014).</w:t>
      </w:r>
    </w:p>
    <w:p>
      <w:pPr>
        <w:pStyle w:val="BodyText"/>
      </w:pPr>
      <w:r>
        <w:br w:type="textWrapping"/>
      </w:r>
      <w:r>
        <w:t xml:space="preserve">Typically research in building impacts has been conducted in one way,</w:t>
      </w:r>
      <w:r>
        <w:t xml:space="preserve"> </w:t>
      </w:r>
      <w:r>
        <w:t xml:space="preserve">where changes in income and population influence the building sector. </w:t>
      </w:r>
      <w:r>
        <w:t xml:space="preserve"> </w:t>
      </w:r>
      <w:r>
        <w:t xml:space="preserve">For example, (Yu, Eom, Zhou, Evans, &amp; Clarke, 2014) investigated different building energy</w:t>
      </w:r>
      <w:r>
        <w:t xml:space="preserve"> </w:t>
      </w:r>
      <w:r>
        <w:t xml:space="preserve">scenarios across China.  (Sharma, Chaturvedi, &amp; Purohit, 2017) investigated changes in</w:t>
      </w:r>
      <w:r>
        <w:t xml:space="preserve"> </w:t>
      </w:r>
      <w:r>
        <w:t xml:space="preserve">CO</w:t>
      </w:r>
      <w:r>
        <w:rPr>
          <w:vertAlign w:val="subscript"/>
        </w:rPr>
        <w:t xml:space="preserve">2</w:t>
      </w:r>
      <w:r>
        <w:t xml:space="preserve"> </w:t>
      </w:r>
      <w:r>
        <w:t xml:space="preserve">and HFC emissions under different economic</w:t>
      </w:r>
      <w:r>
        <w:t xml:space="preserve"> </w:t>
      </w:r>
      <w:r>
        <w:t xml:space="preserve">assumptions in India. Or studies have looked at the system in the</w:t>
      </w:r>
      <w:r>
        <w:t xml:space="preserve"> </w:t>
      </w:r>
      <w:r>
        <w:t xml:space="preserve">opposite direction, trying to understand the effects of a temperature</w:t>
      </w:r>
      <w:r>
        <w:t xml:space="preserve"> </w:t>
      </w:r>
      <w:r>
        <w:t xml:space="preserve">change on the building sector.  For example,  (Petri &amp; Caldeira, 2015) used</w:t>
      </w:r>
      <w:r>
        <w:t xml:space="preserve"> </w:t>
      </w:r>
      <w:r>
        <w:t xml:space="preserve">CMIP5 model output under RCP8.5 to investigate how HDD and CDD will vary</w:t>
      </w:r>
      <w:r>
        <w:t xml:space="preserve"> </w:t>
      </w:r>
      <w:r>
        <w:t xml:space="preserve">regionally across the US. However, within in all of studies heating and</w:t>
      </w:r>
      <w:r>
        <w:t xml:space="preserve"> </w:t>
      </w:r>
      <w:r>
        <w:t xml:space="preserve">cooling degree days are exogenous to the model so therefore feedbacks</w:t>
      </w:r>
      <w:r>
        <w:t xml:space="preserve"> </w:t>
      </w:r>
      <w:r>
        <w:t xml:space="preserve">between changes in temperature and heating and cooling degree days are</w:t>
      </w:r>
      <w:r>
        <w:t xml:space="preserve"> </w:t>
      </w:r>
      <w:r>
        <w:t xml:space="preserve">not represented. </w:t>
      </w:r>
    </w:p>
    <w:p>
      <w:pPr>
        <w:pStyle w:val="BodyText"/>
      </w:pPr>
      <w:r>
        <w:t xml:space="preserve">These approaches fail to link the important two-way coupling between the</w:t>
      </w:r>
      <w:r>
        <w:t xml:space="preserve"> </w:t>
      </w:r>
      <w:r>
        <w:t xml:space="preserve">human and earth systems at every modeling time step.  Recently,  studies</w:t>
      </w:r>
      <w:r>
        <w:t xml:space="preserve"> </w:t>
      </w:r>
      <w:r>
        <w:t xml:space="preserve">have identified the need for these fully coupled, interacting systems</w:t>
      </w:r>
      <w:r>
        <w:t xml:space="preserve"> </w:t>
      </w:r>
      <w:r>
        <w:t xml:space="preserve">(Palmer and Smith 2014; Hallegatte and Mach 2016;  add in the snowmass</w:t>
      </w:r>
      <w:r>
        <w:t xml:space="preserve"> </w:t>
      </w:r>
      <w:r>
        <w:t xml:space="preserve">report).   In the study by (Labriet et al., 2013), they investigated the</w:t>
      </w:r>
      <w:r>
        <w:t xml:space="preserve"> </w:t>
      </w:r>
      <w:r>
        <w:t xml:space="preserve">feedbacks between heating and cooling demands and CO</w:t>
      </w:r>
      <w:r>
        <w:rPr>
          <w:vertAlign w:val="subscript"/>
        </w:rPr>
        <w:t xml:space="preserve">2</w:t>
      </w:r>
      <w:r>
        <w:t xml:space="preserve"> </w:t>
      </w:r>
      <w:r>
        <w:t xml:space="preserve">emissions, and found close to no change in global CO</w:t>
      </w:r>
      <w:r>
        <w:rPr>
          <w:vertAlign w:val="subscript"/>
        </w:rPr>
        <w:t xml:space="preserve">2</w:t>
      </w:r>
      <w:r>
        <w:t xml:space="preserve"> </w:t>
      </w:r>
      <w:r>
        <w:t xml:space="preserve">emissions.  However, they only investigated the feedbacks with regards</w:t>
      </w:r>
      <w:r>
        <w:t xml:space="preserve"> </w:t>
      </w:r>
      <w:r>
        <w:t xml:space="preserve">to CO</w:t>
      </w:r>
      <w:r>
        <w:rPr>
          <w:vertAlign w:val="subscript"/>
        </w:rPr>
        <w:t xml:space="preserve">2</w:t>
      </w:r>
      <w:r>
        <w:t xml:space="preserve"> </w:t>
      </w:r>
      <w:r>
        <w:t xml:space="preserve">and did not include feedbacks from emissions</w:t>
      </w:r>
      <w:r>
        <w:t xml:space="preserve"> </w:t>
      </w:r>
      <w:r>
        <w:t xml:space="preserve">produced directly from increased cooling services. For example,</w:t>
      </w:r>
      <w:r>
        <w:t xml:space="preserve"> </w:t>
      </w:r>
      <w:r>
        <w:t xml:space="preserve">hydrofluorocarbons (HFCs) are used as coolants across the world in</w:t>
      </w:r>
      <w:r>
        <w:t xml:space="preserve"> </w:t>
      </w:r>
      <w:r>
        <w:t xml:space="preserve">refrigeration, cooling units, and heat pumps, and are released during</w:t>
      </w:r>
      <w:r>
        <w:t xml:space="preserve"> </w:t>
      </w:r>
      <w:r>
        <w:t xml:space="preserve">the operational lifetime of the equipment, during servicing or at the</w:t>
      </w:r>
      <w:r>
        <w:t xml:space="preserve"> </w:t>
      </w:r>
      <w:r>
        <w:t xml:space="preserve">end of the equipment’s life.  HFCs typically have much longer lifetimes</w:t>
      </w:r>
      <w:r>
        <w:t xml:space="preserve"> </w:t>
      </w:r>
      <w:r>
        <w:t xml:space="preserve">and stronger radiative forcing properties than CO</w:t>
      </w:r>
      <w:r>
        <w:rPr>
          <w:vertAlign w:val="subscript"/>
        </w:rPr>
        <w:t xml:space="preserve">2</w:t>
      </w:r>
      <w:r>
        <w:t xml:space="preserve">,</w:t>
      </w:r>
      <w:r>
        <w:t xml:space="preserve"> </w:t>
      </w:r>
      <w:r>
        <w:t xml:space="preserve">making them an extremely effective greenhouse gas. </w:t>
      </w:r>
    </w:p>
    <w:p>
      <w:pPr>
        <w:pStyle w:val="BodyText"/>
      </w:pPr>
      <w:r>
        <w:br w:type="textWrapping"/>
      </w:r>
      <w:r>
        <w:t xml:space="preserve">Our approach relies on a fully coupled human-earth system in which we</w:t>
      </w:r>
      <w:r>
        <w:t xml:space="preserve"> </w:t>
      </w:r>
      <w:r>
        <w:t xml:space="preserve">explore the two-way feedbacks between the building sector and the earth</w:t>
      </w:r>
      <w:r>
        <w:t xml:space="preserve"> </w:t>
      </w:r>
      <w:r>
        <w:t xml:space="preserve">system within GCAM (Edmonds et al., 2004). We implemented a coupled</w:t>
      </w:r>
      <w:r>
        <w:t xml:space="preserve"> </w:t>
      </w:r>
      <w:r>
        <w:t xml:space="preserve">modeling framework with statistical relationship between global mean</w:t>
      </w:r>
      <w:r>
        <w:t xml:space="preserve"> </w:t>
      </w:r>
      <w:r>
        <w:t xml:space="preserve">temperature change and heating and cooling degree days at every time</w:t>
      </w:r>
      <w:r>
        <w:t xml:space="preserve"> </w:t>
      </w:r>
      <w:r>
        <w:t xml:space="preserve">step, allowing us to investigate impacts from this feedback on both the</w:t>
      </w:r>
      <w:r>
        <w:t xml:space="preserve"> </w:t>
      </w:r>
      <w:r>
        <w:t xml:space="preserve">human and earth systems. </w:t>
      </w:r>
    </w:p>
    <w:p>
      <w:pPr>
        <w:pStyle w:val="Heading1"/>
      </w:pPr>
      <w:bookmarkStart w:id="22" w:name="methodology-and-data"/>
      <w:bookmarkEnd w:id="22"/>
      <w:r>
        <w:t xml:space="preserve">Methodology and Data</w:t>
      </w:r>
    </w:p>
    <w:p>
      <w:pPr>
        <w:pStyle w:val="Heading2"/>
      </w:pPr>
      <w:bookmarkStart w:id="23" w:name="modeling-framework-gcam-and-hector"/>
      <w:bookmarkEnd w:id="23"/>
      <w:r>
        <w:t xml:space="preserve">Modeling Framework – GCAM and</w:t>
      </w:r>
      <w:r>
        <w:t xml:space="preserve"> </w:t>
      </w:r>
      <w:r>
        <w:t xml:space="preserve">Hector</w:t>
      </w:r>
    </w:p>
    <w:p>
      <w:pPr>
        <w:pStyle w:val="FirstParagraph"/>
      </w:pPr>
      <w:r>
        <w:t xml:space="preserve">  Assessing the combined impacts of socioeconomic changes, technological</w:t>
      </w:r>
      <w:r>
        <w:t xml:space="preserve"> </w:t>
      </w:r>
      <w:r>
        <w:t xml:space="preserve">changes, earth system changes, and other factors on the global buildings</w:t>
      </w:r>
      <w:r>
        <w:t xml:space="preserve"> </w:t>
      </w:r>
      <w:r>
        <w:t xml:space="preserve">sector requires an internally consistent framework that can account for</w:t>
      </w:r>
      <w:r>
        <w:t xml:space="preserve"> </w:t>
      </w:r>
      <w:r>
        <w:t xml:space="preserve">these factors simultaneously. The global building energy model used in</w:t>
      </w:r>
      <w:r>
        <w:t xml:space="preserve"> </w:t>
      </w:r>
      <w:r>
        <w:t xml:space="preserve">this study has been constructed within the Global Change Assessment</w:t>
      </w:r>
      <w:r>
        <w:t xml:space="preserve"> </w:t>
      </w:r>
      <w:r>
        <w:t xml:space="preserve">Model (GCAM) (Calvin et al., 2016).  GCAM is a dynamic-recursive market</w:t>
      </w:r>
      <w:r>
        <w:t xml:space="preserve"> </w:t>
      </w:r>
      <w:r>
        <w:t xml:space="preserve">equilibrium model, combining models of the global energy system (J. and</w:t>
      </w:r>
      <w:r>
        <w:t xml:space="preserve"> </w:t>
      </w:r>
      <w:r>
        <w:t xml:space="preserve">J., 1985; Edmonds et al., 2004), global land use (M.A. Wise, 2011), and</w:t>
      </w:r>
      <w:r>
        <w:t xml:space="preserve"> </w:t>
      </w:r>
      <w:r>
        <w:t xml:space="preserve">a reduced-form representation of the earth system (Hartin, Patel, Schwarber, Link, &amp; Bond-Lamberty, 2015).</w:t>
      </w:r>
      <w:r>
        <w:t xml:space="preserve"> </w:t>
      </w:r>
      <w:r>
        <w:t xml:space="preserve">GCAM represents supplies and demands for energy in each of 32</w:t>
      </w:r>
      <w:r>
        <w:t xml:space="preserve"> </w:t>
      </w:r>
      <w:r>
        <w:t xml:space="preserve">geopolitical regions.  Demands are linked to region-specific assumptions</w:t>
      </w:r>
      <w:r>
        <w:t xml:space="preserve"> </w:t>
      </w:r>
      <w:r>
        <w:t xml:space="preserve">of population growth, labor participation rates, and labor productivity</w:t>
      </w:r>
      <w:r>
        <w:t xml:space="preserve"> </w:t>
      </w:r>
      <w:r>
        <w:t xml:space="preserve">growth. Other important inputs include technology cost and performance</w:t>
      </w:r>
      <w:r>
        <w:t xml:space="preserve"> </w:t>
      </w:r>
      <w:r>
        <w:t xml:space="preserve">information, fossil and other resource information, and climate or other</w:t>
      </w:r>
      <w:r>
        <w:t xml:space="preserve"> </w:t>
      </w:r>
      <w:r>
        <w:t xml:space="preserve">policies. The model is solved by finding a set of prices in all markets</w:t>
      </w:r>
      <w:r>
        <w:t xml:space="preserve"> </w:t>
      </w:r>
      <w:r>
        <w:t xml:space="preserve">at which supplies match demands.  GCAM is run in five-year time steps</w:t>
      </w:r>
      <w:r>
        <w:t xml:space="preserve"> </w:t>
      </w:r>
      <w:r>
        <w:t xml:space="preserve">from 2010 to 2100.  A detailed description and model code can be found</w:t>
      </w:r>
      <w:r>
        <w:t xml:space="preserve"> </w:t>
      </w:r>
      <w:r>
        <w:t xml:space="preserve">at </w:t>
      </w:r>
      <w:hyperlink r:id="rId24">
        <w:r>
          <w:rPr>
            <w:rStyle w:val="Hyperlink"/>
          </w:rPr>
          <w:t xml:space="preserve">http://www.globalchange.umd.edu/models/gcam</w:t>
        </w:r>
      </w:hyperlink>
      <w:r>
        <w:t xml:space="preserve">. </w:t>
      </w:r>
    </w:p>
    <w:p>
      <w:pPr>
        <w:pStyle w:val="Heading2"/>
      </w:pPr>
      <w:bookmarkStart w:id="25" w:name="modeling-global-building-energy-consumption"/>
      <w:bookmarkEnd w:id="25"/>
      <w:r>
        <w:t xml:space="preserve">Modeling global building energy</w:t>
      </w:r>
      <w:r>
        <w:t xml:space="preserve"> </w:t>
      </w:r>
      <w:r>
        <w:t xml:space="preserve">consumption  </w:t>
      </w:r>
    </w:p>
    <w:p>
      <w:pPr>
        <w:pStyle w:val="FirstParagraph"/>
      </w:pPr>
      <w:r>
        <w:t xml:space="preserve">This study builds on the technologically-detailed, service-based</w:t>
      </w:r>
      <w:r>
        <w:t xml:space="preserve"> </w:t>
      </w:r>
      <w:r>
        <w:t xml:space="preserve">building energy modeling approach implemented previously for China,</w:t>
      </w:r>
      <w:r>
        <w:t xml:space="preserve"> </w:t>
      </w:r>
      <w:r>
        <w:t xml:space="preserve">India, and the U.S. in GCAM (Eom, Clarke, Kim, Kyle, &amp; Patel, 2012; Chaturvedi, Eom, Clarke, &amp; Shukla, 2013; Zhou, Eom, &amp; Clarke, 2013), simplifying its detail</w:t>
      </w:r>
      <w:r>
        <w:t xml:space="preserve"> </w:t>
      </w:r>
      <w:r>
        <w:t xml:space="preserve">and applying it to all regions (Figure</w:t>
      </w:r>
      <w:r>
        <w:t xml:space="preserve"> </w:t>
      </w:r>
      <w:r>
        <w:t xml:space="preserve">???</w:t>
      </w:r>
      <w:r>
        <w:t xml:space="preserve">).</w:t>
      </w:r>
      <w:r>
        <w:t xml:space="preserve"> </w:t>
      </w:r>
      <w:r>
        <w:t xml:space="preserve">Underlying socioeconomic drivers – population and income – drive the</w:t>
      </w:r>
      <w:r>
        <w:t xml:space="preserve"> </w:t>
      </w:r>
      <w:r>
        <w:t xml:space="preserve">demand for floorspace in representative residential and commercial</w:t>
      </w:r>
      <w:r>
        <w:t xml:space="preserve"> </w:t>
      </w:r>
      <w:r>
        <w:t xml:space="preserve">buildings in each of GCAM’s 32 regions. There are three types of energy</w:t>
      </w:r>
      <w:r>
        <w:t xml:space="preserve"> </w:t>
      </w:r>
      <w:r>
        <w:t xml:space="preserve">service demands associated with this floorspace: space heating, space</w:t>
      </w:r>
      <w:r>
        <w:t xml:space="preserve"> </w:t>
      </w:r>
      <w:r>
        <w:t xml:space="preserve">cooling, and</w:t>
      </w:r>
      <w:r>
        <w:t xml:space="preserve"> </w:t>
      </w:r>
      <w:r>
        <w:t xml:space="preserve">“</w:t>
      </w:r>
      <w:r>
        <w:t xml:space="preserve">other</w:t>
      </w:r>
      <w:r>
        <w:t xml:space="preserve">”</w:t>
      </w:r>
      <w:r>
        <w:t xml:space="preserve"> </w:t>
      </w:r>
      <w:r>
        <w:t xml:space="preserve">services, which includes services such as</w:t>
      </w:r>
      <w:r>
        <w:t xml:space="preserve"> </w:t>
      </w:r>
      <w:r>
        <w:t xml:space="preserve">appliances, lighting, and water heating. The change in demand for these</w:t>
      </w:r>
      <w:r>
        <w:t xml:space="preserve"> </w:t>
      </w:r>
      <w:r>
        <w:t xml:space="preserve">per unit of floorspace is related to the change in affordability of the</w:t>
      </w:r>
      <w:r>
        <w:t xml:space="preserve"> </w:t>
      </w:r>
      <w:r>
        <w:t xml:space="preserve">energy services (the ratio of per capita income to the price of</w:t>
      </w:r>
      <w:r>
        <w:t xml:space="preserve"> </w:t>
      </w:r>
      <w:r>
        <w:t xml:space="preserve">providing the service) and to heating and cooling degree days. The</w:t>
      </w:r>
      <w:r>
        <w:t xml:space="preserve"> </w:t>
      </w:r>
      <w:r>
        <w:t xml:space="preserve">latter dependence allows the model to represent the impact of</w:t>
      </w:r>
      <w:r>
        <w:t xml:space="preserve"> </w:t>
      </w:r>
      <w:r>
        <w:t xml:space="preserve">temperature change on service demands (Eom, Clarke, Kim, Kyle, &amp; Patel, 2012), and hence on</w:t>
      </w:r>
      <w:r>
        <w:t xml:space="preserve"> </w:t>
      </w:r>
      <w:r>
        <w:t xml:space="preserve">energy expenditures.</w:t>
      </w:r>
    </w:p>
    <w:p>
      <w:pPr>
        <w:pStyle w:val="FigureWithCaption"/>
      </w:pPr>
      <w:r>
        <w:drawing>
          <wp:inline>
            <wp:extent cx="859199" cy="466800"/>
            <wp:effectExtent b="0" l="0" r="0" t="0"/>
            <wp:docPr descr="Structure of the energy supply and demand within the building energy model within GCAM. Figure from Clarke et al., 2017. - not publiushed yet. We should probably change the red box.  " title="" id="1" name="Picture"/>
            <a:graphic>
              <a:graphicData uri="http://schemas.openxmlformats.org/drawingml/2006/picture">
                <pic:pic>
                  <pic:nvPicPr>
                    <pic:cNvPr descr="figures/structure-energy/structure-energy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99" cy="466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Structure of the energy supply and demand within the building energy</w:t>
      </w:r>
      <w:r>
        <w:t xml:space="preserve"> </w:t>
      </w:r>
      <w:r>
        <w:t xml:space="preserve">model within GCAM. Figure from Clarke et al., 2017. - not publiushed</w:t>
      </w:r>
      <w:r>
        <w:t xml:space="preserve"> </w:t>
      </w:r>
      <w:r>
        <w:t xml:space="preserve">yet. We should probably change the red box. </w:t>
      </w:r>
      <w:r>
        <w:t xml:space="preserve"> </w:t>
      </w:r>
    </w:p>
    <w:p>
      <w:pPr>
        <w:pStyle w:val="Heading2"/>
      </w:pPr>
      <w:bookmarkStart w:id="27" w:name="gcam-fusion---pralit---do-we-want-a-description-of-this-in-the-paper"/>
      <w:bookmarkEnd w:id="27"/>
      <w:r>
        <w:t xml:space="preserve">2.3 GCAM Fusion - PRALIT - do we want a description of this</w:t>
      </w:r>
      <w:r>
        <w:t xml:space="preserve"> </w:t>
      </w:r>
      <w:r>
        <w:t xml:space="preserve">in the</w:t>
      </w:r>
      <w:r>
        <w:t xml:space="preserve"> </w:t>
      </w:r>
      <w:r>
        <w:t xml:space="preserve">paper?</w:t>
      </w:r>
    </w:p>
    <w:p>
      <w:pPr>
        <w:pStyle w:val="Heading2"/>
      </w:pPr>
      <w:bookmarkStart w:id="28" w:name="degree-days"/>
      <w:bookmarkEnd w:id="28"/>
      <w:r>
        <w:t xml:space="preserve">Degree Days</w:t>
      </w:r>
    </w:p>
    <w:p>
      <w:pPr>
        <w:pStyle w:val="FirstParagraph"/>
      </w:pPr>
      <w:r>
        <w:t xml:space="preserve"> Degree days are a metric that indicates requirements for building</w:t>
      </w:r>
      <w:r>
        <w:t xml:space="preserve"> </w:t>
      </w:r>
      <w:r>
        <w:t xml:space="preserve">heating or cooling.  Annual degree days are the summation of temperature</w:t>
      </w:r>
      <w:r>
        <w:t xml:space="preserve"> </w:t>
      </w:r>
      <w:r>
        <w:t xml:space="preserve">difference from a balance point over time and capture both the extremity</w:t>
      </w:r>
      <w:r>
        <w:t xml:space="preserve"> </w:t>
      </w:r>
      <w:r>
        <w:t xml:space="preserve">and duration of difference between outdoor temperatures and a reference</w:t>
      </w:r>
      <w:r>
        <w:t xml:space="preserve"> </w:t>
      </w:r>
      <w:r>
        <w:t xml:space="preserve">temperature (Baumert and Selman 2003; Say 2006).  In order to couple</w:t>
      </w:r>
      <w:r>
        <w:t xml:space="preserve"> </w:t>
      </w:r>
      <w:r>
        <w:t xml:space="preserve">GCAM and Hector, this study required a relationship between global mean</w:t>
      </w:r>
      <w:r>
        <w:t xml:space="preserve"> </w:t>
      </w:r>
      <w:r>
        <w:t xml:space="preserve">temperature (a Hector output) and degree days (a GCAM input). This led</w:t>
      </w:r>
      <w:r>
        <w:t xml:space="preserve"> </w:t>
      </w:r>
      <w:r>
        <w:t xml:space="preserve">to the development of a GLM (generalized linear model) to model both</w:t>
      </w:r>
      <w:r>
        <w:t xml:space="preserve"> </w:t>
      </w:r>
      <w:r>
        <w:t xml:space="preserve">HDDs and CDDs for various ESMs used in CMIP5</w:t>
      </w:r>
      <w:r>
        <w:t xml:space="preserve"> </w:t>
      </w:r>
      <w:r>
        <w:t xml:space="preserve">(Table </w:t>
      </w:r>
      <w:r>
        <w:t xml:space="preserve">???</w:t>
      </w:r>
      <w:r>
        <w:t xml:space="preserve">). In order to obtain annual</w:t>
      </w:r>
      <w:r>
        <w:t xml:space="preserve"> </w:t>
      </w:r>
      <w:r>
        <w:t xml:space="preserve">HDDs/CDDs for each GCAM region, daily average temperature data from the</w:t>
      </w:r>
      <w:r>
        <w:t xml:space="preserve"> </w:t>
      </w:r>
      <w:r>
        <w:t xml:space="preserve">ESMs was regridded to a 0.5° x 0.5° grid and used to calculate HDD/CDD</w:t>
      </w:r>
      <w:r>
        <w:t xml:space="preserve"> </w:t>
      </w:r>
      <w:r>
        <w:t xml:space="preserve">within each grid cell using the formula below, with balance temperature,</w:t>
      </w:r>
      <w:r>
        <w:t xml:space="preserve"> </w:t>
      </w:r>
      <w:r>
        <w:t xml:space="preserve">T</w:t>
      </w:r>
      <w:r>
        <w:rPr>
          <w:vertAlign w:val="subscript"/>
        </w:rPr>
        <w:t xml:space="preserve">b</w:t>
      </w:r>
      <w:r>
        <w:t xml:space="preserve">  (18.3 ° F C or 65 ° F)and surface temperature,</w:t>
      </w:r>
      <w:r>
        <w:t xml:space="preserve"> </w:t>
      </w:r>
      <w:r>
        <w:t xml:space="preserve">T</w:t>
      </w:r>
      <w:r>
        <w:rPr>
          <w:vertAlign w:val="subscript"/>
        </w:rPr>
        <w:t xml:space="preserve">s</w:t>
      </w:r>
      <w:r>
        <w:t xml:space="preserve">:</w:t>
      </w:r>
    </w:p>
    <w:p>
      <w:pPr>
        <w:pStyle w:val="BodyText"/>
      </w:pPr>
      <w:r>
        <w:t xml:space="preserve"> </w:t>
      </w:r>
      <w:r>
        <w:t xml:space="preserve"> </w:t>
      </w:r>
      <m:oMath>
        <m:r>
          <m:t>H</m:t>
        </m:r>
        <m:r>
          <m:t>D</m:t>
        </m:r>
        <m:r>
          <m:t>D</m:t>
        </m:r>
        <m:r>
          <m:t>=</m:t>
        </m:r>
        <m:d>
          <m:dPr>
            <m:begChr m:val="{"/>
            <m:end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left"/>
                      <m:count m:val="1"/>
                    </m:mcPr>
                  </m:mc>
                  <m:mc>
                    <m:mcPr>
                      <m:mcJc m:val="left"/>
                      <m:count m:val="1"/>
                    </m:mcPr>
                  </m:mc>
                </m:mcs>
              </m:mPr>
              <m:mr>
                <m:e>
                  <m:sSub>
                    <m:e>
                      <m:r>
                        <m:t>T</m:t>
                      </m:r>
                    </m:e>
                    <m:sub>
                      <m:r>
                        <m:t>b</m:t>
                      </m:r>
                    </m:sub>
                  </m:sSub>
                  <m:r>
                    <m:t>−</m:t>
                  </m:r>
                  <m:sSub>
                    <m:e>
                      <m:r>
                        <m:t>T</m:t>
                      </m:r>
                    </m:e>
                    <m:sub>
                      <m:r>
                        <m:t>s</m:t>
                      </m:r>
                    </m:sub>
                  </m:sSub>
                </m:e>
                <m:e>
                  <m:r>
                    <m:t>a</m:t>
                  </m:r>
                  <m:r>
                    <m:t>m</m:t>
                  </m:r>
                  <m:r>
                    <m:t>p</m:t>
                  </m:r>
                  <m:r>
                    <m:t>;</m:t>
                  </m:r>
                  <m:r>
                    <m:rPr>
                      <m:sty m:val="p"/>
                    </m:rPr>
                    <m:t>if </m:t>
                  </m:r>
                  <m:sSub>
                    <m:e>
                      <m:r>
                        <m:t>T</m:t>
                      </m:r>
                    </m:e>
                    <m:sub>
                      <m:r>
                        <m:t>s</m:t>
                      </m:r>
                    </m:sub>
                  </m:sSub>
                  <m:r>
                    <m:t>&lt;</m:t>
                  </m:r>
                  <m:sSub>
                    <m:e>
                      <m:r>
                        <m:t>T</m:t>
                      </m:r>
                    </m:e>
                    <m:sub>
                      <m:r>
                        <m:t>b</m:t>
                      </m:r>
                    </m:sub>
                  </m:sSub>
                  <m:r>
                    <m:t>,</m:t>
                  </m:r>
                </m:e>
              </m:mr>
              <m:mr>
                <m:e>
                  <m:r>
                    <m:t>0</m:t>
                  </m:r>
                </m:e>
                <m:e>
                  <m:r>
                    <m:t>a</m:t>
                  </m:r>
                  <m:r>
                    <m:t>m</m:t>
                  </m:r>
                  <m:r>
                    <m:t>p</m:t>
                  </m:r>
                  <m:r>
                    <m:t>;</m:t>
                  </m:r>
                  <m:r>
                    <m:rPr>
                      <m:sty m:val="p"/>
                    </m:rPr>
                    <m:t>if </m:t>
                  </m:r>
                  <m:sSub>
                    <m:e>
                      <m:r>
                        <m:t>T</m:t>
                      </m:r>
                    </m:e>
                    <m:sub>
                      <m:r>
                        <m:t>s</m:t>
                      </m:r>
                    </m:sub>
                  </m:sSub>
                  <m:r>
                    <m:t>≥</m:t>
                  </m:r>
                  <m:sSub>
                    <m:e>
                      <m:r>
                        <m:t>T</m:t>
                      </m:r>
                    </m:e>
                    <m:sub>
                      <m:r>
                        <m:t>b</m:t>
                      </m:r>
                    </m:sub>
                  </m:sSub>
                </m:e>
              </m:mr>
            </m:m>
          </m:e>
        </m:d>
        <m:r>
          <m:t> </m:t>
        </m:r>
        <m:r>
          <m:t>C</m:t>
        </m:r>
        <m:r>
          <m:t>D</m:t>
        </m:r>
        <m:r>
          <m:t>D</m:t>
        </m:r>
        <m:r>
          <m:t>=</m:t>
        </m:r>
        <m:d>
          <m:dPr>
            <m:begChr m:val="{"/>
            <m:endChr m:val=""/>
            <m:grow/>
          </m:dPr>
          <m:e>
            <m:m>
              <m:mPr>
                <m:baseJc m:val="center"/>
                <m:plcHide m:val="1"/>
                <m:mcs>
                  <m:mc>
                    <m:mcPr>
                      <m:mcJc m:val="left"/>
                      <m:count m:val="1"/>
                    </m:mcPr>
                  </m:mc>
                  <m:mc>
                    <m:mcPr>
                      <m:mcJc m:val="left"/>
                      <m:count m:val="1"/>
                    </m:mcPr>
                  </m:mc>
                </m:mcs>
              </m:mPr>
              <m:mr>
                <m:e>
                  <m:sSub>
                    <m:e>
                      <m:r>
                        <m:t>T</m:t>
                      </m:r>
                    </m:e>
                    <m:sub>
                      <m:r>
                        <m:t>s</m:t>
                      </m:r>
                    </m:sub>
                  </m:sSub>
                  <m:r>
                    <m:t>−</m:t>
                  </m:r>
                  <m:sSub>
                    <m:e>
                      <m:r>
                        <m:t>T</m:t>
                      </m:r>
                    </m:e>
                    <m:sub>
                      <m:r>
                        <m:t>b</m:t>
                      </m:r>
                    </m:sub>
                  </m:sSub>
                </m:e>
                <m:e>
                  <m:r>
                    <m:t>a</m:t>
                  </m:r>
                  <m:r>
                    <m:t>m</m:t>
                  </m:r>
                  <m:r>
                    <m:t>p</m:t>
                  </m:r>
                  <m:r>
                    <m:t>;</m:t>
                  </m:r>
                  <m:r>
                    <m:rPr>
                      <m:sty m:val="p"/>
                    </m:rPr>
                    <m:t>if </m:t>
                  </m:r>
                  <m:sSub>
                    <m:e>
                      <m:r>
                        <m:t>T</m:t>
                      </m:r>
                    </m:e>
                    <m:sub>
                      <m:r>
                        <m:t>s</m:t>
                      </m:r>
                    </m:sub>
                  </m:sSub>
                  <m:r>
                    <m:t>&gt;</m:t>
                  </m:r>
                  <m:sSub>
                    <m:e>
                      <m:r>
                        <m:t>T</m:t>
                      </m:r>
                    </m:e>
                    <m:sub>
                      <m:r>
                        <m:t>b</m:t>
                      </m:r>
                    </m:sub>
                  </m:sSub>
                  <m:r>
                    <m:t>,</m:t>
                  </m:r>
                </m:e>
              </m:mr>
              <m:mr>
                <m:e>
                  <m:r>
                    <m:t>0</m:t>
                  </m:r>
                </m:e>
                <m:e>
                  <m:r>
                    <m:t>a</m:t>
                  </m:r>
                  <m:r>
                    <m:t>m</m:t>
                  </m:r>
                  <m:r>
                    <m:t>p</m:t>
                  </m:r>
                  <m:r>
                    <m:t>;</m:t>
                  </m:r>
                  <m:r>
                    <m:rPr>
                      <m:sty m:val="p"/>
                    </m:rPr>
                    <m:t>if </m:t>
                  </m:r>
                  <m:sSub>
                    <m:e>
                      <m:r>
                        <m:t>T</m:t>
                      </m:r>
                    </m:e>
                    <m:sub>
                      <m:r>
                        <m:t>s</m:t>
                      </m:r>
                    </m:sub>
                  </m:sSub>
                  <m:r>
                    <m:t>≤</m:t>
                  </m:r>
                  <m:sSub>
                    <m:e>
                      <m:r>
                        <m:t>T</m:t>
                      </m:r>
                    </m:e>
                    <m:sub>
                      <m:r>
                        <m:t>b</m:t>
                      </m:r>
                    </m:sub>
                  </m:sSub>
                </m:e>
              </m:mr>
            </m:m>
          </m:e>
        </m:d>
      </m:oMath>
    </w:p>
    <w:p>
      <w:pPr>
        <w:pStyle w:val="BodyText"/>
      </w:pPr>
      <w:r>
        <w:t xml:space="preserve">The HDDs/CDDs in each grid cell were then summed annually and</w:t>
      </w:r>
      <w:r>
        <w:t xml:space="preserve"> </w:t>
      </w:r>
      <w:r>
        <w:t xml:space="preserve">population-weighted from grid cell to GCAM region in each year.  Annual</w:t>
      </w:r>
      <w:r>
        <w:t xml:space="preserve"> </w:t>
      </w:r>
      <w:r>
        <w:t xml:space="preserve">global mean temperature was also calculated for each ESM.</w:t>
      </w:r>
    </w:p>
    <w:p>
      <w:pPr>
        <w:pStyle w:val="BodyText"/>
      </w:pPr>
      <w:r>
        <w:t xml:space="preserve"> We treated the HDDs and CDDs as count data. For each region, there is a</w:t>
      </w:r>
      <w:r>
        <w:t xml:space="preserve"> </w:t>
      </w:r>
      <w:r>
        <w:t xml:space="preserve">count, which is never less than zero, of HDDs and CDDs for each year. As</w:t>
      </w:r>
      <w:r>
        <w:t xml:space="preserve"> </w:t>
      </w:r>
      <w:r>
        <w:t xml:space="preserve">a result, a Poisson regression model was chosen for the GLM, with a</w:t>
      </w:r>
      <w:r>
        <w:t xml:space="preserve"> </w:t>
      </w:r>
      <w:r>
        <w:t xml:space="preserve">logarithmic link function and random error possessing a Poisson</w:t>
      </w:r>
      <w:r>
        <w:t xml:space="preserve"> </w:t>
      </w:r>
      <w:r>
        <w:t xml:space="preserve">distribution.  Let </w:t>
      </w:r>
      <m:oMath>
        <m:sSub>
          <m:e>
            <m:r>
              <m:t>N</m:t>
            </m:r>
          </m:e>
          <m:sub>
            <m:r>
              <m:t>H</m:t>
            </m:r>
          </m:sub>
        </m:sSub>
      </m:oMath>
      <w:r>
        <w:t xml:space="preserve">and </w:t>
      </w:r>
      <m:oMath>
        <m:sSub>
          <m:e>
            <m:r>
              <m:t>N</m:t>
            </m:r>
          </m:e>
          <m:sub>
            <m:r>
              <m:t>C</m:t>
            </m:r>
          </m:sub>
        </m:sSub>
      </m:oMath>
      <w:r>
        <w:t xml:space="preserve"> </w:t>
      </w:r>
      <w:r>
        <w:t xml:space="preserve">be the</w:t>
      </w:r>
      <w:r>
        <w:t xml:space="preserve"> </w:t>
      </w:r>
      <w:r>
        <w:t xml:space="preserve">numbers of heating and cooling degree days in region </w:t>
      </w:r>
      <m:oMath>
        <m:r>
          <m:t>r</m:t>
        </m:r>
      </m:oMath>
      <w:r>
        <w:t xml:space="preserve">,</w:t>
      </w:r>
      <w:r>
        <w:t xml:space="preserve"> </w:t>
      </w:r>
      <w:r>
        <w:t xml:space="preserve">with population-weighted latitude </w:t>
      </w:r>
      <m:oMath>
        <m:sSub>
          <m:e>
            <m:r>
              <m:t>L</m:t>
            </m:r>
          </m:e>
          <m:sub>
            <m:r>
              <m:t>r</m:t>
            </m:r>
          </m:sub>
        </m:sSub>
      </m:oMath>
      <w:r>
        <w:t xml:space="preserve">.  Then:   </w:t>
      </w:r>
    </w:p>
    <w:p>
      <w:pPr>
        <w:pStyle w:val="BodyText"/>
      </w:pPr>
      <m:oMath>
        <m:r>
          <m:rPr>
            <m:sty m:val="p"/>
          </m:rPr>
          <m:t>ln</m:t>
        </m:r>
        <m:r>
          <m:t>(</m:t>
        </m:r>
        <m:sSub>
          <m:e>
            <m:r>
              <m:t>N</m:t>
            </m:r>
          </m:e>
          <m:sub>
            <m:r>
              <m:t>H</m:t>
            </m:r>
          </m:sub>
        </m:sSub>
        <m:r>
          <m:t>)</m:t>
        </m:r>
        <m:r>
          <m:t>=</m:t>
        </m:r>
        <m:sSub>
          <m:e>
            <m:r>
              <m:t>α</m:t>
            </m:r>
          </m:e>
          <m:sub>
            <m:r>
              <m:t>1</m:t>
            </m:r>
          </m:sub>
        </m:sSub>
        <m:r>
          <m:t>T</m:t>
        </m:r>
        <m:r>
          <m:t>+</m:t>
        </m:r>
        <m:sSub>
          <m:e>
            <m:r>
              <m:t>α</m:t>
            </m:r>
          </m:e>
          <m:sub>
            <m:r>
              <m:t>2</m:t>
            </m:r>
          </m:sub>
        </m:sSub>
        <m:r>
          <m:t>T</m:t>
        </m:r>
        <m:sSub>
          <m:e>
            <m:r>
              <m:t>L</m:t>
            </m:r>
          </m:e>
          <m:sub>
            <m:r>
              <m:t>r</m:t>
            </m:r>
          </m:sub>
        </m:sSub>
        <m:r>
          <m:t>+</m:t>
        </m:r>
        <m:sSubSup>
          <m:e>
            <m:r>
              <m:t>α</m:t>
            </m:r>
          </m:e>
          <m:sub>
            <m:r>
              <m:t>3</m:t>
            </m:r>
          </m:sub>
          <m:sup>
            <m:r>
              <m:t>(</m:t>
            </m:r>
            <m:r>
              <m:t>r</m:t>
            </m:r>
            <m:r>
              <m:t>)</m:t>
            </m:r>
          </m:sup>
        </m:sSubSup>
        <m:sSup>
          <m:e>
            <m:r>
              <m:t>T</m:t>
            </m:r>
          </m:e>
          <m:sup>
            <m:r>
              <m:t>2</m:t>
            </m:r>
          </m:sup>
        </m:sSup>
        <m:r>
          <m:t>+</m:t>
        </m:r>
        <m:sSubSup>
          <m:e>
            <m:r>
              <m:t>α</m:t>
            </m:r>
          </m:e>
          <m:sub>
            <m:r>
              <m:t>4</m:t>
            </m:r>
          </m:sub>
          <m:sup>
            <m:r>
              <m:t>(</m:t>
            </m:r>
            <m:r>
              <m:t>r</m:t>
            </m:r>
            <m:r>
              <m:t>)</m:t>
            </m:r>
          </m:sup>
        </m:sSubSup>
        <m:r>
          <m:t>,</m:t>
        </m:r>
      </m:oMath>
    </w:p>
    <w:p>
      <w:pPr>
        <w:pStyle w:val="BodyText"/>
      </w:pPr>
      <w:r>
        <w:t xml:space="preserve">and</w:t>
      </w:r>
    </w:p>
    <w:p>
      <w:pPr>
        <w:pStyle w:val="BodyText"/>
      </w:pPr>
      <m:oMath>
        <m:r>
          <m:rPr>
            <m:sty m:val="p"/>
          </m:rPr>
          <m:t>ln</m:t>
        </m:r>
        <m:r>
          <m:t>(</m:t>
        </m:r>
        <m:sSub>
          <m:e>
            <m:r>
              <m:t>N</m:t>
            </m:r>
          </m:e>
          <m:sub>
            <m:r>
              <m:t>C</m:t>
            </m:r>
          </m:sub>
        </m:sSub>
        <m:r>
          <m:t>)</m:t>
        </m:r>
        <m:r>
          <m:t>=</m:t>
        </m:r>
        <m:sSub>
          <m:e>
            <m:r>
              <m:t>β</m:t>
            </m:r>
          </m:e>
          <m:sub>
            <m:r>
              <m:t>1</m:t>
            </m:r>
          </m:sub>
        </m:sSub>
        <m:r>
          <m:t>T</m:t>
        </m:r>
        <m:r>
          <m:t>+</m:t>
        </m:r>
        <m:sSub>
          <m:e>
            <m:r>
              <m:t>β</m:t>
            </m:r>
          </m:e>
          <m:sub>
            <m:r>
              <m:t>2</m:t>
            </m:r>
          </m:sub>
        </m:sSub>
        <m:r>
          <m:t>T</m:t>
        </m:r>
        <m:sSub>
          <m:e>
            <m:r>
              <m:t>L</m:t>
            </m:r>
          </m:e>
          <m:sub>
            <m:r>
              <m:t>r</m:t>
            </m:r>
          </m:sub>
        </m:sSub>
        <m:r>
          <m:t>+</m:t>
        </m:r>
        <m:sSubSup>
          <m:e>
            <m:r>
              <m:t>β</m:t>
            </m:r>
          </m:e>
          <m:sub>
            <m:r>
              <m:t>3</m:t>
            </m:r>
          </m:sub>
          <m:sup>
            <m:r>
              <m:t>(</m:t>
            </m:r>
            <m:r>
              <m:t>r</m:t>
            </m:r>
            <m:r>
              <m:t>)</m:t>
            </m:r>
          </m:sup>
        </m:sSubSup>
        <m:sSup>
          <m:e>
            <m:r>
              <m:t>T</m:t>
            </m:r>
          </m:e>
          <m:sup>
            <m:r>
              <m:t>2</m:t>
            </m:r>
          </m:sup>
        </m:sSup>
        <m:r>
          <m:t>+</m:t>
        </m:r>
        <m:sSubSup>
          <m:e>
            <m:r>
              <m:t>β</m:t>
            </m:r>
          </m:e>
          <m:sub>
            <m:r>
              <m:t>4</m:t>
            </m:r>
          </m:sub>
          <m:sup>
            <m:r>
              <m:t>(</m:t>
            </m:r>
            <m:r>
              <m:t>r</m:t>
            </m:r>
            <m:r>
              <m:t>)</m:t>
            </m:r>
          </m:sup>
        </m:sSubSup>
        <m:r>
          <m:t>,</m:t>
        </m:r>
      </m:oMath>
    </w:p>
    <w:p>
      <w:pPr>
        <w:pStyle w:val="BodyText"/>
      </w:pPr>
      <w:r>
        <w:t xml:space="preserve">where</w:t>
      </w:r>
      <w:r>
        <w:t xml:space="preserve"> </w:t>
      </w:r>
      <m:oMath>
        <m:r>
          <m:t>T</m:t>
        </m:r>
      </m:oMath>
      <w:r>
        <w:t xml:space="preserve"> </w:t>
      </w:r>
      <w:r>
        <w:t xml:space="preserve">is the global mean temperature. The</w:t>
      </w:r>
      <w:r>
        <w:t xml:space="preserve"> </w:t>
      </w:r>
      <m:oMath>
        <m:r>
          <m:t>α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β</m:t>
        </m:r>
      </m:oMath>
      <w:r>
        <w:t xml:space="preserve"> </w:t>
      </w:r>
      <w:r>
        <w:t xml:space="preserve">are regression coefficients. Coefficients with a</w:t>
      </w:r>
      <w:r>
        <w:t xml:space="preserve"> </w:t>
      </w:r>
      <m:oMath>
        <m:sSup>
          <m:e>
            <m:r>
              <m:t/>
            </m:r>
          </m:e>
          <m:sup>
            <m:r>
              <m:t>(</m:t>
            </m:r>
            <m:r>
              <m:t>r</m:t>
            </m:r>
            <m:r>
              <m:t>)</m:t>
            </m:r>
          </m:sup>
        </m:sSup>
      </m:oMath>
      <w:r>
        <w:t xml:space="preserve"> </w:t>
      </w:r>
      <w:r>
        <w:t xml:space="preserve">superscript are region-specific, while those without are the same for all regions.</w:t>
      </w:r>
    </w:p>
    <w:p>
      <w:pPr>
        <w:pStyle w:val="BodyText"/>
      </w:pPr>
      <w:r>
        <w:t xml:space="preserve">At every time step, global emissions are used to calculate the global</w:t>
      </w:r>
      <w:r>
        <w:t xml:space="preserve"> </w:t>
      </w:r>
      <w:r>
        <w:t xml:space="preserve">mean temperature from Hector, from which heating and cooling degree days</w:t>
      </w:r>
      <w:r>
        <w:t xml:space="preserve"> </w:t>
      </w:r>
      <w:r>
        <w:t xml:space="preserve">in each of the 32 regions are calculated within GCAM.  The energy system</w:t>
      </w:r>
      <w:r>
        <w:t xml:space="preserve"> </w:t>
      </w:r>
      <w:r>
        <w:t xml:space="preserve">responds to this change in heating and cooling demands in each region.</w:t>
      </w:r>
    </w:p>
    <w:p>
      <w:pPr>
        <w:pStyle w:val="TableCaption"/>
      </w:pPr>
      <w:r>
        <w:t xml:space="preserve">Table of CMIP5 models emulated in this analysis.  </w:t>
      </w:r>
      <w:r>
        <w:t xml:space="preserve"> </w:t>
      </w:r>
    </w:p>
    <w:tbl>
      <w:tblPr>
        <w:tblStyle w:val="TableNormal"/>
        <w:tblW w:type="pct" w:w="0.0"/>
        <w:tblLook/>
        <w:tblCaption w:val="Table of CMIP5 models emulated in this analysis.   "/>
      </w:tblPr>
      <w:tblGrid/>
      <w:tr>
        <w:tc>
          <w:p>
            <w:pPr>
              <w:pStyle w:val="Compact"/>
              <w:jc w:val="center"/>
            </w:pPr>
            <w:r>
              <w:t xml:space="preserve">Model</w:t>
            </w:r>
          </w:p>
        </w:tc>
        <w:tc>
          <w:p>
            <w:pPr>
              <w:pStyle w:val="Compact"/>
              <w:jc w:val="center"/>
            </w:pPr>
            <w:r>
              <w:t xml:space="preserve">Modeling Center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ACCESS 1-0</w:t>
            </w:r>
          </w:p>
        </w:tc>
        <w:tc>
          <w:p>
            <w:pPr>
              <w:pStyle w:val="Compact"/>
              <w:jc w:val="center"/>
            </w:pPr>
            <w:r>
              <w:t xml:space="preserve">Australian Community Climate and Earth System Simulator Coupled Model, Australia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CanESM2</w:t>
            </w:r>
          </w:p>
        </w:tc>
        <w:tc>
          <w:p>
            <w:pPr>
              <w:pStyle w:val="Compact"/>
              <w:jc w:val="center"/>
            </w:pPr>
            <w:r>
              <w:t xml:space="preserve">Canadian Centre for Climate Modeling and Analysis, Canada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CCSM4</w:t>
            </w:r>
          </w:p>
        </w:tc>
        <w:tc>
          <w:p>
            <w:pPr>
              <w:pStyle w:val="Compact"/>
              <w:jc w:val="center"/>
            </w:pPr>
            <w:r>
              <w:t xml:space="preserve">NSF/DOE, National Center for Atmopsheric Research, USA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CESM1-CAM5</w:t>
            </w:r>
          </w:p>
        </w:tc>
        <w:tc>
          <w:p>
            <w:pPr>
              <w:pStyle w:val="Compact"/>
              <w:jc w:val="center"/>
            </w:pPr>
            <w:r>
              <w:t xml:space="preserve">NSF/DOE, National Center for Atmopsheric Research, USA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CMCC-CMS</w:t>
            </w:r>
          </w:p>
        </w:tc>
        <w:tc>
          <w:p>
            <w:pPr>
              <w:pStyle w:val="Compact"/>
              <w:jc w:val="center"/>
            </w:pPr>
            <w:r>
              <w:t xml:space="preserve">Centro Euro-Mediterraneo sui Cambiamenti Climatici Climate Model, Italy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CNRM-CM5</w:t>
            </w:r>
          </w:p>
        </w:tc>
        <w:tc>
          <w:p>
            <w:pPr>
              <w:pStyle w:val="Compact"/>
              <w:jc w:val="center"/>
            </w:pPr>
            <w:r>
              <w:t xml:space="preserve">Centre National de Recherches Météorologiques, France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GFDL-CM3</w:t>
            </w:r>
          </w:p>
        </w:tc>
        <w:tc>
          <w:p>
            <w:pPr>
              <w:pStyle w:val="Compact"/>
              <w:jc w:val="center"/>
            </w:pPr>
            <w:r>
              <w:t xml:space="preserve">NOAA, Geophysical Fluid Dynamic Laboratory, USA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HadGEM2-ES</w:t>
            </w:r>
          </w:p>
        </w:tc>
        <w:tc>
          <w:p>
            <w:pPr>
              <w:pStyle w:val="Compact"/>
              <w:jc w:val="center"/>
            </w:pPr>
            <w:r>
              <w:t xml:space="preserve">Meteorological Office Hadley Centre, U.K.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inmcm4</w:t>
            </w:r>
          </w:p>
        </w:tc>
        <w:tc>
          <w:p>
            <w:pPr>
              <w:pStyle w:val="Compact"/>
              <w:jc w:val="center"/>
            </w:pPr>
            <w:r>
              <w:t xml:space="preserve">Institute of Numerical Mathematics, Russia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IPSL-CM5A-MR</w:t>
            </w:r>
          </w:p>
        </w:tc>
        <w:tc>
          <w:p>
            <w:pPr>
              <w:pStyle w:val="Compact"/>
              <w:jc w:val="center"/>
            </w:pPr>
            <w:r>
              <w:t xml:space="preserve">Laboratoire de Meteorologique Dynamique, Institut Pierre-Simon Laplace, France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MIROC-ESM</w:t>
            </w:r>
          </w:p>
        </w:tc>
        <w:tc>
          <w:p>
            <w:pPr>
              <w:pStyle w:val="Compact"/>
              <w:jc w:val="center"/>
            </w:pPr>
            <w:r>
              <w:t xml:space="preserve">Atmosphere and Ocean Research Institute, National Institute for Environmental Studies and Japan Agency for Marine-Earth Science and Technology, Japan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MPI-ESM-MR</w:t>
            </w:r>
          </w:p>
        </w:tc>
        <w:tc>
          <w:p>
            <w:pPr>
              <w:pStyle w:val="Compact"/>
              <w:jc w:val="center"/>
            </w:pPr>
            <w:r>
              <w:t xml:space="preserve">Max Planck Institute for Meteorology, Germany</w:t>
            </w:r>
          </w:p>
        </w:tc>
      </w:tr>
      <w:tr>
        <w:tc>
          <w:p>
            <w:pPr>
              <w:pStyle w:val="Compact"/>
              <w:jc w:val="center"/>
            </w:pPr>
            <w:r>
              <w:t xml:space="preserve">NorESM1-M</w:t>
            </w:r>
          </w:p>
        </w:tc>
        <w:tc>
          <w:p>
            <w:pPr>
              <w:pStyle w:val="Compact"/>
              <w:jc w:val="center"/>
            </w:pPr>
            <w:r>
              <w:t xml:space="preserve">Norwegian Climate Centre, Norway</w:t>
            </w:r>
          </w:p>
        </w:tc>
      </w:tr>
    </w:tbl>
    <w:p>
      <w:pPr>
        <w:pStyle w:val="Heading2"/>
      </w:pPr>
      <w:bookmarkStart w:id="29" w:name="scenarios"/>
      <w:bookmarkEnd w:id="29"/>
      <w:r>
        <w:t xml:space="preserve">Scenarios</w:t>
      </w:r>
    </w:p>
    <w:p>
      <w:pPr>
        <w:pStyle w:val="FirstParagraph"/>
      </w:pPr>
      <w:r>
        <w:t xml:space="preserve">Due to the coupled nature of the system, we can run numerous scenarios</w:t>
      </w:r>
      <w:r>
        <w:t xml:space="preserve"> </w:t>
      </w:r>
      <w:r>
        <w:t xml:space="preserve">and investigate the uncertainty associated with choice of climate model</w:t>
      </w:r>
      <w:r>
        <w:t xml:space="preserve"> </w:t>
      </w:r>
      <w:r>
        <w:t xml:space="preserve">(Table </w:t>
      </w:r>
      <w:r>
        <w:t xml:space="preserve">???</w:t>
      </w:r>
      <w:r>
        <w:t xml:space="preserve">), equilibrium climate</w:t>
      </w:r>
      <w:r>
        <w:t xml:space="preserve"> </w:t>
      </w:r>
      <w:r>
        <w:t xml:space="preserve">sensitivity, and socioeconomics.  For each scenario, climate sensitivity</w:t>
      </w:r>
      <w:r>
        <w:t xml:space="preserve"> </w:t>
      </w:r>
      <w:r>
        <w:t xml:space="preserve">was set to the range of climate sensitivity values for the CMIP5 models</w:t>
      </w:r>
      <w:r>
        <w:t xml:space="preserve"> </w:t>
      </w:r>
      <w:r>
        <w:t xml:space="preserve">(Table 9.5-1, IPCC)of 2.1 and 4.7 ° C plus the default Hector value of</w:t>
      </w:r>
      <w:r>
        <w:t xml:space="preserve"> </w:t>
      </w:r>
      <w:r>
        <w:t xml:space="preserve">3.0 ° C. Population and GDP follow the assumptions of the Shared</w:t>
      </w:r>
      <w:r>
        <w:t xml:space="preserve"> </w:t>
      </w:r>
      <w:r>
        <w:t xml:space="preserve">Socioeconomic Pathways (SSP) 1, 2 and 5 (Riahi et al., 2017).  At a global</w:t>
      </w:r>
      <w:r>
        <w:t xml:space="preserve"> </w:t>
      </w:r>
      <w:r>
        <w:t xml:space="preserve">level for SSP1, population is assumed to peak in 2050 and decline to</w:t>
      </w:r>
      <w:r>
        <w:t xml:space="preserve"> </w:t>
      </w:r>
      <w:r>
        <w:t xml:space="preserve">about 7 billion people by the end of the century (van Vuuren et al., 2017). </w:t>
      </w:r>
      <w:r>
        <w:t xml:space="preserve"> </w:t>
      </w:r>
      <w:r>
        <w:t xml:space="preserve">This reference scenario run in GCAM results in a radiative forcing</w:t>
      </w:r>
      <w:r>
        <w:t xml:space="preserve"> </w:t>
      </w:r>
      <w:r>
        <w:t xml:space="preserve">change of 6.43  W m</w:t>
      </w:r>
      <w:r>
        <w:rPr>
          <w:vertAlign w:val="superscript"/>
        </w:rPr>
        <w:t xml:space="preserve">-2</w:t>
      </w:r>
      <w:r>
        <w:t xml:space="preserve"> </w:t>
      </w:r>
      <w:r>
        <w:t xml:space="preserve">and a 3.86 ° C temperature</w:t>
      </w:r>
      <w:r>
        <w:t xml:space="preserve"> </w:t>
      </w:r>
      <w:r>
        <w:t xml:space="preserve">change in 2100. At a global level for SSP2, population is assumed to</w:t>
      </w:r>
      <w:r>
        <w:t xml:space="preserve"> </w:t>
      </w:r>
      <w:r>
        <w:t xml:space="preserve">peak in 2070 and then decline to about 9 billion people by the end of</w:t>
      </w:r>
      <w:r>
        <w:t xml:space="preserve"> </w:t>
      </w:r>
      <w:r>
        <w:t xml:space="preserve">the century, with the growth occurring mostly in a subset of the</w:t>
      </w:r>
      <w:r>
        <w:t xml:space="preserve"> </w:t>
      </w:r>
      <w:r>
        <w:t xml:space="preserve">developing regions (Fricko et al., 2017).  This reference scenario run in</w:t>
      </w:r>
      <w:r>
        <w:t xml:space="preserve"> </w:t>
      </w:r>
      <w:r>
        <w:t xml:space="preserve">GCAM results in a radiative forcing change of 6.31 W</w:t>
      </w:r>
      <w:r>
        <w:t xml:space="preserve"> </w:t>
      </w:r>
      <w:r>
        <w:t xml:space="preserve">m</w:t>
      </w:r>
      <w:r>
        <w:rPr>
          <w:vertAlign w:val="superscript"/>
        </w:rPr>
        <w:t xml:space="preserve">-2</w:t>
      </w:r>
      <w:r>
        <w:t xml:space="preserve"> </w:t>
      </w:r>
      <w:r>
        <w:t xml:space="preserve">and a 3.68° C temperature change in 2100. At the</w:t>
      </w:r>
      <w:r>
        <w:t xml:space="preserve"> </w:t>
      </w:r>
      <w:r>
        <w:t xml:space="preserve">global level for SSP5, population is assumed to peak in about 2050 and</w:t>
      </w:r>
      <w:r>
        <w:t xml:space="preserve"> </w:t>
      </w:r>
      <w:r>
        <w:t xml:space="preserve">decline to 7.4 billion people by the end of the century.  SSP5 is</w:t>
      </w:r>
      <w:r>
        <w:t xml:space="preserve"> </w:t>
      </w:r>
      <w:r>
        <w:t xml:space="preserve">characterized by high levels of fossil fuel use and greenhouse gas</w:t>
      </w:r>
      <w:r>
        <w:t xml:space="preserve"> </w:t>
      </w:r>
      <w:r>
        <w:t xml:space="preserve">emissions over the century (Kriegler et al., 2017).  This reference scenario</w:t>
      </w:r>
      <w:r>
        <w:t xml:space="preserve"> </w:t>
      </w:r>
      <w:r>
        <w:t xml:space="preserve">run in GCAM results in a radiative forcing change of 7.35 W</w:t>
      </w:r>
      <w:r>
        <w:t xml:space="preserve"> </w:t>
      </w:r>
      <w:r>
        <w:t xml:space="preserve">m</w:t>
      </w:r>
      <w:r>
        <w:rPr>
          <w:vertAlign w:val="superscript"/>
        </w:rPr>
        <w:t xml:space="preserve">-2</w:t>
      </w:r>
      <w:r>
        <w:t xml:space="preserve"> </w:t>
      </w:r>
      <w:r>
        <w:t xml:space="preserve">and a 4.37° C temperature change in 2100. Since we</w:t>
      </w:r>
      <w:r>
        <w:t xml:space="preserve"> </w:t>
      </w:r>
      <w:r>
        <w:t xml:space="preserve">aren’t changing energy-related assumptions, the SSP1 used here has a</w:t>
      </w:r>
      <w:r>
        <w:t xml:space="preserve"> </w:t>
      </w:r>
      <w:r>
        <w:t xml:space="preserve">higher raddiative forcing than the official SSP1 and the SSP5 has a</w:t>
      </w:r>
      <w:r>
        <w:t xml:space="preserve"> </w:t>
      </w:r>
      <w:r>
        <w:t xml:space="preserve">lower radiaitve forcing than the official. </w:t>
      </w:r>
    </w:p>
    <w:p>
      <w:pPr>
        <w:pStyle w:val="BodyText"/>
      </w:pPr>
      <w:r>
        <w:br w:type="textWrapping"/>
      </w:r>
      <w:r>
        <w:t xml:space="preserve">For the feedback scenarios, we turn on the relationship between global</w:t>
      </w:r>
      <w:r>
        <w:t xml:space="preserve"> </w:t>
      </w:r>
      <w:r>
        <w:t xml:space="preserve">mean temperature change and heating and cooling degree days, allowing</w:t>
      </w:r>
      <w:r>
        <w:t xml:space="preserve"> </w:t>
      </w:r>
      <w:r>
        <w:t xml:space="preserve">the model to endogenously calculate these within each region for each</w:t>
      </w:r>
      <w:r>
        <w:t xml:space="preserve"> </w:t>
      </w:r>
      <w:r>
        <w:t xml:space="preserve">climate sensitivity and SSP combination.  Both reference and feedback</w:t>
      </w:r>
      <w:r>
        <w:t xml:space="preserve"> </w:t>
      </w:r>
      <w:r>
        <w:t xml:space="preserve">scenario are run emulating each of the 13 CMIP5 models.   All figures</w:t>
      </w:r>
      <w:r>
        <w:t xml:space="preserve"> </w:t>
      </w:r>
      <w:r>
        <w:t xml:space="preserve">and discussion are comparing the reference case from the feedback case. 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30" w:name="results"/>
      <w:bookmarkEnd w:id="30"/>
      <w:r>
        <w:t xml:space="preserve">Results</w:t>
      </w:r>
    </w:p>
    <w:p>
      <w:pPr>
        <w:pStyle w:val="Heading2"/>
      </w:pPr>
      <w:bookmarkStart w:id="31" w:name="global-impacts"/>
      <w:bookmarkEnd w:id="31"/>
      <w:r>
        <w:t xml:space="preserve">Global impacts</w:t>
      </w:r>
    </w:p>
    <w:p>
      <w:pPr>
        <w:pStyle w:val="FirstParagraph"/>
      </w:pPr>
      <w:r>
        <w:t xml:space="preserve">We start with highlighting the one scenario, SSP2 and a climate</w:t>
      </w:r>
      <w:r>
        <w:t xml:space="preserve"> </w:t>
      </w:r>
      <w:r>
        <w:t xml:space="preserve">sensitivity of 3.0 ° C across all climate models. As global mean</w:t>
      </w:r>
      <w:r>
        <w:t xml:space="preserve"> </w:t>
      </w:r>
      <w:r>
        <w:t xml:space="preserve">temperature rises, the demand for heating in the high latitude regions</w:t>
      </w:r>
      <w:r>
        <w:t xml:space="preserve"> </w:t>
      </w:r>
      <w:r>
        <w:t xml:space="preserve">decreases while the demand for cooling in the mid latitudes increases</w:t>
      </w:r>
      <w:r>
        <w:t xml:space="preserve"> </w:t>
      </w:r>
      <w:r>
        <w:t xml:space="preserve">(not shown atm). This change in heating and cooling demand is further</w:t>
      </w:r>
      <w:r>
        <w:t xml:space="preserve"> </w:t>
      </w:r>
      <w:r>
        <w:t xml:space="preserve">amplified by incorporating feedbacks between global mean temperature</w:t>
      </w:r>
      <w:r>
        <w:t xml:space="preserve"> </w:t>
      </w:r>
      <w:r>
        <w:t xml:space="preserve">change and heating and cooling degree days, leading to an increase in</w:t>
      </w:r>
      <w:r>
        <w:t xml:space="preserve"> </w:t>
      </w:r>
      <w:r>
        <w:t xml:space="preserve">the median global temperature of  0.063° C in 2100 with a range of</w:t>
      </w:r>
      <w:r>
        <w:t xml:space="preserve"> </w:t>
      </w:r>
      <w:r>
        <w:t xml:space="preserve">0.052° C and 0.079 ° C (Figure </w:t>
      </w:r>
      <w:r>
        <w:t xml:space="preserve">???</w:t>
      </w:r>
      <w:r>
        <w:t xml:space="preserve">).   </w:t>
      </w:r>
    </w:p>
    <w:p>
      <w:pPr>
        <w:pStyle w:val="FigureWithCaption"/>
      </w:pPr>
      <w:r>
        <w:drawing>
          <wp:inline>
            <wp:extent cx="5334000" cy="3557301"/>
            <wp:effectExtent b="0" l="0" r="0" t="0"/>
            <wp:docPr descr="Building energy feedback effects on global mean temperature ( ° C )for scenarios with SSP2 and climate sensitivity 3 ° C . " title="" id="1" name="Picture"/>
            <a:graphic>
              <a:graphicData uri="http://schemas.openxmlformats.org/drawingml/2006/picture">
                <pic:pic>
                  <pic:nvPicPr>
                    <pic:cNvPr descr="figures/GMT-boxplot/temp-const-CS-SSP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3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Building energy feedback effects on global mean temperature ( ° C )for</w:t>
      </w:r>
      <w:r>
        <w:t xml:space="preserve"> </w:t>
      </w:r>
      <w:r>
        <w:t xml:space="preserve">scenarios with SSP2 and climate sensitivity 3 ° C .</w:t>
      </w:r>
      <w:r>
        <w:t xml:space="preserve"> </w:t>
      </w:r>
    </w:p>
    <w:p>
      <w:pPr>
        <w:pStyle w:val="FigureWithCaption"/>
      </w:pPr>
      <w:r>
        <w:drawing>
          <wp:inline>
            <wp:extent cx="5334000" cy="3557301"/>
            <wp:effectExtent b="0" l="0" r="0" t="0"/>
            <wp:docPr descr="  Building energy feedback effects on global total energy (EJ) to building a) cooling and b) heating  for scenarios with SSP2 and climate sensitivity 3 ° C . " title="" id="1" name="Picture"/>
            <a:graphic>
              <a:graphicData uri="http://schemas.openxmlformats.org/drawingml/2006/picture">
                <pic:pic>
                  <pic:nvPicPr>
                    <pic:cNvPr descr="figures/glb-totenergy-boxplot/bld-const-CS-SSP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3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  Building energy feedback effects on global total energy (EJ) to</w:t>
      </w:r>
      <w:r>
        <w:t xml:space="preserve"> </w:t>
      </w:r>
      <w:r>
        <w:t xml:space="preserve">building a) cooling and b) heating  for scenarios with SSP2 and climate</w:t>
      </w:r>
      <w:r>
        <w:t xml:space="preserve"> </w:t>
      </w:r>
      <w:r>
        <w:t xml:space="preserve">sensitivity 3 ° C .</w:t>
      </w:r>
      <w:r>
        <w:t xml:space="preserve"> </w:t>
      </w:r>
    </w:p>
    <w:p>
      <w:pPr>
        <w:pStyle w:val="BodyText"/>
      </w:pPr>
      <w:r>
        <w:t xml:space="preserve">This modest change in global mean temperature leads to significant</w:t>
      </w:r>
      <w:r>
        <w:t xml:space="preserve"> </w:t>
      </w:r>
      <w:r>
        <w:t xml:space="preserve">changes in the energy system. Figure </w:t>
      </w:r>
      <w:r>
        <w:t xml:space="preserve">???</w:t>
      </w:r>
      <w:r>
        <w:t xml:space="preserve"> </w:t>
      </w:r>
      <w:r>
        <w:t xml:space="preserve">shows the increase in cooling demands by a median of 6.9 EJ, while the</w:t>
      </w:r>
      <w:r>
        <w:t xml:space="preserve"> </w:t>
      </w:r>
      <w:r>
        <w:t xml:space="preserve">demand for heating decreases by a median of 10.3 EJ.  This shift in</w:t>
      </w:r>
      <w:r>
        <w:t xml:space="preserve"> </w:t>
      </w:r>
      <w:r>
        <w:t xml:space="preserve">heating and cooling energy use has important implications for fuel mix</w:t>
      </w:r>
      <w:r>
        <w:t xml:space="preserve"> </w:t>
      </w:r>
      <w:r>
        <w:t xml:space="preserve">(Figure </w:t>
      </w:r>
      <w:r>
        <w:t xml:space="preserve">???</w:t>
      </w:r>
      <w:r>
        <w:t xml:space="preserve">).  If we break apart the global</w:t>
      </w:r>
      <w:r>
        <w:t xml:space="preserve"> </w:t>
      </w:r>
      <w:r>
        <w:t xml:space="preserve">energy demand into their various components, we see the proportions of</w:t>
      </w:r>
      <w:r>
        <w:t xml:space="preserve"> </w:t>
      </w:r>
      <w:r>
        <w:t xml:space="preserve">energy use shift to higher demands in electricity, while all other</w:t>
      </w:r>
      <w:r>
        <w:t xml:space="preserve"> </w:t>
      </w:r>
      <w:r>
        <w:t xml:space="preserve">energy inputs decrease.  Final energy to the building sector is roughly</w:t>
      </w:r>
      <w:r>
        <w:t xml:space="preserve"> </w:t>
      </w:r>
      <w:r>
        <w:t xml:space="preserve">balanced out by the increased demands for cooling and the decreased</w:t>
      </w:r>
      <w:r>
        <w:t xml:space="preserve"> </w:t>
      </w:r>
      <w:r>
        <w:t xml:space="preserve">demands for heating.  Similar to (Labriet et al., 2013), we find no</w:t>
      </w:r>
      <w:r>
        <w:t xml:space="preserve"> </w:t>
      </w:r>
      <w:r>
        <w:t xml:space="preserve">significant change in global CO</w:t>
      </w:r>
      <w:r>
        <w:rPr>
          <w:vertAlign w:val="subscript"/>
        </w:rPr>
        <w:t xml:space="preserve">2</w:t>
      </w:r>
      <w:r>
        <w:t xml:space="preserve"> </w:t>
      </w:r>
      <w:r>
        <w:t xml:space="preserve">emissions (Figure</w:t>
      </w:r>
      <w:r>
        <w:t xml:space="preserve"> </w:t>
      </w:r>
      <w:r>
        <w:t xml:space="preserve">???</w:t>
      </w:r>
      <w:r>
        <w:t xml:space="preserve">).     </w:t>
      </w:r>
    </w:p>
    <w:p>
      <w:pPr>
        <w:pStyle w:val="FigureWithCaption"/>
      </w:pPr>
      <w:r>
        <w:drawing>
          <wp:inline>
            <wp:extent cx="5334000" cy="3557301"/>
            <wp:effectExtent b="0" l="0" r="0" t="0"/>
            <wp:docPr descr="Building energy feedback effects on global building energy demand (EJ) for each input for scenarios with SSP2 and climate sensitivity 3 ° C .   " title="" id="1" name="Picture"/>
            <a:graphic>
              <a:graphicData uri="http://schemas.openxmlformats.org/drawingml/2006/picture">
                <pic:pic>
                  <pic:nvPicPr>
                    <pic:cNvPr descr="figures/glb-totenergy-input-boxplot/fuel-lnchart-const-CS-SSP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3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Building energy feedback effects on global building energy demand (EJ)</w:t>
      </w:r>
      <w:r>
        <w:t xml:space="preserve"> </w:t>
      </w:r>
      <w:r>
        <w:t xml:space="preserve">for each input for scenarios with SSP2 and climate sensitivity 3 ° C .  </w:t>
      </w:r>
      <w:r>
        <w:t xml:space="preserve"> </w:t>
      </w:r>
    </w:p>
    <w:p>
      <w:pPr>
        <w:pStyle w:val="BodyText"/>
      </w:pPr>
      <w:r>
        <w:t xml:space="preserve">However, there are some emissions that are linked directly to increases</w:t>
      </w:r>
      <w:r>
        <w:t xml:space="preserve"> </w:t>
      </w:r>
      <w:r>
        <w:t xml:space="preserve">in cooling demands.  The cooling service is almost entirely</w:t>
      </w:r>
      <w:r>
        <w:t xml:space="preserve"> </w:t>
      </w:r>
      <w:r>
        <w:t xml:space="preserve">delivere</w:t>
      </w:r>
      <w:r>
        <w:t xml:space="preserve">d by electricity, whereas heating service is delivered</w:t>
      </w:r>
      <w:r>
        <w:t xml:space="preserve"> </w:t>
      </w:r>
      <w:r>
        <w:t xml:space="preserve">by other primary and secondary fuels, such as gas, coal and</w:t>
      </w:r>
      <w:r>
        <w:t xml:space="preserve"> </w:t>
      </w:r>
      <w:r>
        <w:t xml:space="preserve">biomass. This increase for cooling demand leads to a median increase in</w:t>
      </w:r>
      <w:r>
        <w:t xml:space="preserve"> </w:t>
      </w:r>
      <w:r>
        <w:t xml:space="preserve">2100 HFC134a and 143a emissions of 863 and 181</w:t>
      </w:r>
      <w:r>
        <w:t xml:space="preserve"> </w:t>
      </w:r>
      <w:r>
        <w:t xml:space="preserve">Gg (Figure </w:t>
      </w:r>
      <w:r>
        <w:t xml:space="preserve">???</w:t>
      </w:r>
      <w:r>
        <w:t xml:space="preserve">).  The increase in global</w:t>
      </w:r>
      <w:r>
        <w:t xml:space="preserve"> </w:t>
      </w:r>
      <w:r>
        <w:t xml:space="preserve">mean temperature is due to the change in HFC emissions and not due a</w:t>
      </w:r>
      <w:r>
        <w:t xml:space="preserve"> </w:t>
      </w:r>
      <w:r>
        <w:t xml:space="preserve">change in CO</w:t>
      </w:r>
      <w:r>
        <w:rPr>
          <w:vertAlign w:val="subscript"/>
        </w:rPr>
        <w:t xml:space="preserve">2</w:t>
      </w:r>
      <w:r>
        <w:t xml:space="preserve"> </w:t>
      </w:r>
      <w:r>
        <w:t xml:space="preserve">emissions.   </w:t>
      </w:r>
    </w:p>
    <w:p>
      <w:pPr>
        <w:pStyle w:val="FigureWithCaption"/>
      </w:pPr>
      <w:r>
        <w:drawing>
          <wp:inline>
            <wp:extent cx="5334000" cy="3557301"/>
            <wp:effectExtent b="0" l="0" r="0" t="0"/>
            <wp:docPr descr="Building energy feedback effects on a) HFC134a emissions (Gg) and b) HFC143a emissions (Gg) for scenarios with SSP2 and climate sensitivity 3 ° C.  " title="" id="1" name="Picture"/>
            <a:graphic>
              <a:graphicData uri="http://schemas.openxmlformats.org/drawingml/2006/picture">
                <pic:pic>
                  <pic:nvPicPr>
                    <pic:cNvPr descr="figures/HFC-boxplot/hfc-const-CS-SSP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3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Building energy feedback effects on a) HFC134a emissions (Gg) and b)</w:t>
      </w:r>
      <w:r>
        <w:t xml:space="preserve"> </w:t>
      </w:r>
      <w:r>
        <w:t xml:space="preserve">HFC143a emissions (Gg) for scenarios with SSP2 and climate sensitivity 3</w:t>
      </w:r>
      <w:r>
        <w:t xml:space="preserve"> </w:t>
      </w:r>
      <w:r>
        <w:t xml:space="preserve">° C. </w:t>
      </w:r>
      <w:r>
        <w:t xml:space="preserve"> </w:t>
      </w:r>
    </w:p>
    <w:p>
      <w:pPr>
        <w:pStyle w:val="FigureWithCaption"/>
      </w:pPr>
      <w:r>
        <w:drawing>
          <wp:inline>
            <wp:extent cx="5334000" cy="3557301"/>
            <wp:effectExtent b="0" l="0" r="0" t="0"/>
            <wp:docPr descr="Building energy feedback effects on global CO2 emissions (MtC)  for scenarios with SSP2 and climate sensitivity 3 ° C . 3 ° C .  " title="" id="1" name="Picture"/>
            <a:graphic>
              <a:graphicData uri="http://schemas.openxmlformats.org/drawingml/2006/picture">
                <pic:pic>
                  <pic:nvPicPr>
                    <pic:cNvPr descr="figures/CO2ems-boxplot/co2-const-CS-SSP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3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Building energy feedback effects on global CO</w:t>
      </w:r>
      <w:r>
        <w:rPr>
          <w:vertAlign w:val="subscript"/>
        </w:rPr>
        <w:t xml:space="preserve">2</w:t>
      </w:r>
      <w:r>
        <w:t xml:space="preserve"> </w:t>
      </w:r>
      <w:r>
        <w:t xml:space="preserve">emissions</w:t>
      </w:r>
      <w:r>
        <w:t xml:space="preserve"> </w:t>
      </w:r>
      <w:r>
        <w:t xml:space="preserve">(MtC)  for scenarios with SSP2 and climate sensitivity 3 ° C . 3 ° C . </w:t>
      </w:r>
      <w:r>
        <w:t xml:space="preserve"> </w:t>
      </w:r>
    </w:p>
    <w:p>
      <w:pPr>
        <w:pStyle w:val="Heading2"/>
      </w:pPr>
      <w:bookmarkStart w:id="37" w:name="uncertainty-quantification"/>
      <w:bookmarkEnd w:id="37"/>
      <w:r>
        <w:t xml:space="preserve">Uncertainty</w:t>
      </w:r>
      <w:r>
        <w:t xml:space="preserve"> </w:t>
      </w:r>
      <w:r>
        <w:t xml:space="preserve">quantification</w:t>
      </w:r>
    </w:p>
    <w:p>
      <w:pPr>
        <w:pStyle w:val="FirstParagraph"/>
      </w:pPr>
      <w:r>
        <w:t xml:space="preserve">Due to the fact that these models are coupled in code we can easily run</w:t>
      </w:r>
      <w:r>
        <w:t xml:space="preserve"> </w:t>
      </w:r>
      <w:r>
        <w:t xml:space="preserve">numerous scenarios  we can run numerous scenarios. If we consider all</w:t>
      </w:r>
      <w:r>
        <w:t xml:space="preserve"> </w:t>
      </w:r>
      <w:r>
        <w:t xml:space="preserve">126 scenarios, the difference in global mean temperature change in 2100</w:t>
      </w:r>
      <w:r>
        <w:t xml:space="preserve"> </w:t>
      </w:r>
      <w:r>
        <w:t xml:space="preserve">between the feedback and reference cases, ranges from 0.023° C to 0.302°</w:t>
      </w:r>
      <w:r>
        <w:t xml:space="preserve"> </w:t>
      </w:r>
      <w:r>
        <w:t xml:space="preserve">C .  We can break down the relative importance of the sources of</w:t>
      </w:r>
      <w:r>
        <w:t xml:space="preserve"> </w:t>
      </w:r>
      <w:r>
        <w:t xml:space="preserve">uncertainty across all 126 scenarios with a classic anova analysis</w:t>
      </w:r>
      <w:r>
        <w:t xml:space="preserve"> </w:t>
      </w:r>
      <w:r>
        <w:t xml:space="preserve">(Figure </w:t>
      </w:r>
      <w:r>
        <w:t xml:space="preserve">???</w:t>
      </w:r>
      <w:r>
        <w:t xml:space="preserve">).  We see that a change in</w:t>
      </w:r>
      <w:r>
        <w:t xml:space="preserve"> </w:t>
      </w:r>
      <w:r>
        <w:t xml:space="preserve">climate sensitivity leads to the largest variance, with greater than</w:t>
      </w:r>
      <w:r>
        <w:t xml:space="preserve"> </w:t>
      </w:r>
      <w:r>
        <w:t xml:space="preserve">0.45K</w:t>
      </w:r>
      <w:r>
        <w:rPr>
          <w:vertAlign w:val="superscript"/>
        </w:rPr>
        <w:t xml:space="preserve">2 </w:t>
      </w:r>
      <w:r>
        <w:t xml:space="preserve">in 2100.</w:t>
      </w:r>
    </w:p>
    <w:p>
      <w:pPr>
        <w:pStyle w:val="FigureWithCaption"/>
      </w:pPr>
      <w:r>
        <w:drawing>
          <wp:inline>
            <wp:extent cx="5334000" cy="3557301"/>
            <wp:effectExtent b="0" l="0" r="0" t="0"/>
            <wp:docPr descr="Total variance for  global mean temperature change split into 4 sources of uncertainty, climate sensitivity, SSPs, model, and anova residuals.  " title="" id="1" name="Picture"/>
            <a:graphic>
              <a:graphicData uri="http://schemas.openxmlformats.org/drawingml/2006/picture">
                <pic:pic>
                  <pic:nvPicPr>
                    <pic:cNvPr descr="figures/temp-anova/temp-anov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3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Total variance for  global mean temperature change split into 4 sources</w:t>
      </w:r>
      <w:r>
        <w:t xml:space="preserve"> </w:t>
      </w:r>
      <w:r>
        <w:t xml:space="preserve">of uncertainty, climate sensitivity, SSPs, model, and anova residuals. </w:t>
      </w:r>
      <w:r>
        <w:t xml:space="preserve"> </w:t>
      </w:r>
    </w:p>
    <w:p>
      <w:pPr>
        <w:pStyle w:val="BodyText"/>
      </w:pPr>
      <w:r>
        <w:t xml:space="preserve">We can investigate sources of uncertainty across all GCAM outputs.  For</w:t>
      </w:r>
      <w:r>
        <w:t xml:space="preserve"> </w:t>
      </w:r>
      <w:r>
        <w:t xml:space="preserve">example, we can investigate the the breakdown in variance for cooling</w:t>
      </w:r>
      <w:r>
        <w:t xml:space="preserve"> </w:t>
      </w:r>
      <w:r>
        <w:t xml:space="preserve">and heating energy demands (Figure </w:t>
      </w:r>
      <w:r>
        <w:t xml:space="preserve">???</w:t>
      </w:r>
      <w:r>
        <w:t xml:space="preserve">). </w:t>
      </w:r>
      <w:r>
        <w:t xml:space="preserve"> </w:t>
      </w:r>
      <w:r>
        <w:t xml:space="preserve">Like global mean temperature change, variance in cooling and heating</w:t>
      </w:r>
      <w:r>
        <w:t xml:space="preserve"> </w:t>
      </w:r>
      <w:r>
        <w:t xml:space="preserve">energy demands is dominated by uncertanity in climate sensitivity,</w:t>
      </w:r>
      <w:r>
        <w:t xml:space="preserve"> </w:t>
      </w:r>
      <w:r>
        <w:t xml:space="preserve">however, we see differences between heating and cooling.  WHAT ELSE DO I</w:t>
      </w:r>
      <w:r>
        <w:t xml:space="preserve"> </w:t>
      </w:r>
      <w:r>
        <w:t xml:space="preserve">WANT TO SAY? </w:t>
      </w:r>
    </w:p>
    <w:p>
      <w:pPr>
        <w:pStyle w:val="BodyText"/>
      </w:pPr>
      <w:r>
        <w:br w:type="textWrapping"/>
      </w:r>
    </w:p>
    <w:p>
      <w:pPr>
        <w:pStyle w:val="FigureWithCaption"/>
      </w:pPr>
      <w:r>
        <w:drawing>
          <wp:inline>
            <wp:extent cx="5334000" cy="3557301"/>
            <wp:effectExtent b="0" l="0" r="0" t="0"/>
            <wp:docPr descr="Total variance for a) cooling and b) heating energy demands split into 4 sources of uncertanity, cliamte sensitivity, SSPs, model, and anova residuals.  " title="" id="1" name="Picture"/>
            <a:graphic>
              <a:graphicData uri="http://schemas.openxmlformats.org/drawingml/2006/picture">
                <pic:pic>
                  <pic:nvPicPr>
                    <pic:cNvPr descr="figures/bld-anova/bld-anova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730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Total variance for a) cooling and b) heating energy demands split into 4</w:t>
      </w:r>
      <w:r>
        <w:t xml:space="preserve"> </w:t>
      </w:r>
      <w:r>
        <w:t xml:space="preserve">sources of uncertanity, cliamte sensitivity, SSPs, model, and anova</w:t>
      </w:r>
      <w:r>
        <w:t xml:space="preserve"> </w:t>
      </w:r>
      <w:r>
        <w:t xml:space="preserve">residuals. </w:t>
      </w:r>
      <w:r>
        <w:t xml:space="preserve"> </w:t>
      </w:r>
    </w:p>
    <w:p>
      <w:pPr>
        <w:pStyle w:val="BodyText"/>
      </w:pPr>
      <w:r>
        <w:br w:type="textWrapping"/>
      </w:r>
    </w:p>
    <w:p>
      <w:pPr>
        <w:pStyle w:val="Heading2"/>
      </w:pPr>
      <w:bookmarkStart w:id="40" w:name="regional-impacts"/>
      <w:bookmarkEnd w:id="40"/>
      <w:r>
        <w:t xml:space="preserve">Regional impacts</w:t>
      </w:r>
    </w:p>
    <w:p>
      <w:pPr>
        <w:pStyle w:val="FirstParagraph"/>
      </w:pPr>
      <w:r>
        <w:t xml:space="preserve"> GCAM’s energy and economic sector is broken up into 32 regions, in</w:t>
      </w:r>
      <w:r>
        <w:t xml:space="preserve"> </w:t>
      </w:r>
      <w:r>
        <w:t xml:space="preserve">which we can investigate regional with the system.  We see in</w:t>
      </w:r>
      <w:r>
        <w:t xml:space="preserve"> </w:t>
      </w:r>
      <w:r>
        <w:t xml:space="preserve">Figure </w:t>
      </w:r>
      <w:r>
        <w:t xml:space="preserve">???</w:t>
      </w:r>
      <w:r>
        <w:t xml:space="preserve"> </w:t>
      </w:r>
      <w:r>
        <w:t xml:space="preserve">that CO</w:t>
      </w:r>
      <w:r>
        <w:rPr>
          <w:vertAlign w:val="subscript"/>
        </w:rPr>
        <w:t xml:space="preserve">2</w:t>
      </w:r>
      <w:r>
        <w:t xml:space="preserve"> </w:t>
      </w:r>
      <w:r>
        <w:t xml:space="preserve">emissions globally are close to zero. However, if we look regionally we</w:t>
      </w:r>
      <w:r>
        <w:t xml:space="preserve"> </w:t>
      </w:r>
      <w:r>
        <w:t xml:space="preserve">can see differences under an SSP2 and climate sensitivity of</w:t>
      </w:r>
      <w:r>
        <w:t xml:space="preserve"> </w:t>
      </w:r>
      <w:r>
        <w:t xml:space="preserve">3.0C.  Africa, India and Indonesia have an increase in</w:t>
      </w:r>
      <w:r>
        <w:t xml:space="preserve"> </w:t>
      </w:r>
      <w:r>
        <w:t xml:space="preserve">CO</w:t>
      </w:r>
      <w:r>
        <w:rPr>
          <w:vertAlign w:val="subscript"/>
        </w:rPr>
        <w:t xml:space="preserve">2</w:t>
      </w:r>
      <w:r>
        <w:t xml:space="preserve"> </w:t>
      </w:r>
      <w:r>
        <w:t xml:space="preserve">emissions while the USA, Canada, Europe, Asia and</w:t>
      </w:r>
      <w:r>
        <w:t xml:space="preserve"> </w:t>
      </w:r>
      <w:r>
        <w:t xml:space="preserve">Russia all see a decrease in emissions.</w:t>
      </w:r>
      <w:r>
        <w:rPr>
          <w:b/>
        </w:rPr>
        <w:t xml:space="preserve"> </w:t>
      </w:r>
      <w:r>
        <w:t xml:space="preserve"> An increase in HFC134a</w:t>
      </w:r>
      <w:r>
        <w:t xml:space="preserve"> </w:t>
      </w:r>
      <w:r>
        <w:t xml:space="preserve">emissions corresponds to the regions with an increase in electricity</w:t>
      </w:r>
      <w:r>
        <w:t xml:space="preserve"> </w:t>
      </w:r>
      <w:r>
        <w:t xml:space="preserve">demands for cooling. Western Africa and India see both the largest</w:t>
      </w:r>
      <w:r>
        <w:t xml:space="preserve"> </w:t>
      </w:r>
      <w:r>
        <w:t xml:space="preserve">increase in electricity demands for cooling, at 1.15 EJ and 0.67 EJ</w:t>
      </w:r>
      <w:r>
        <w:t xml:space="preserve"> </w:t>
      </w:r>
      <w:r>
        <w:t xml:space="preserve">respectively, as well as the largest increase in HFC134a emissions, at</w:t>
      </w:r>
      <w:r>
        <w:t xml:space="preserve"> </w:t>
      </w:r>
      <w:r>
        <w:t xml:space="preserve">165 Gg and 100 Gg respectively.</w:t>
      </w:r>
    </w:p>
    <w:p>
      <w:pPr>
        <w:pStyle w:val="FigureWithCaption"/>
      </w:pPr>
      <w:r>
        <w:drawing>
          <wp:inline>
            <wp:extent cx="5334000" cy="3334726"/>
            <wp:effectExtent b="0" l="0" r="0" t="0"/>
            <wp:docPr descr="???Multi-model median difference between the feedback scenario and the reference for CO2 emissions (MtC) in 2100.  " title="" id="1" name="Picture"/>
            <a:graphic>
              <a:graphicData uri="http://schemas.openxmlformats.org/drawingml/2006/picture">
                <pic:pic>
                  <pic:nvPicPr>
                    <pic:cNvPr descr="figures/map-CO2-2100/map-co2-210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347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???</w:t>
      </w:r>
      <w:r>
        <w:t xml:space="preserve">Multi-model median difference between the</w:t>
      </w:r>
      <w:r>
        <w:t xml:space="preserve"> </w:t>
      </w:r>
      <w:r>
        <w:t xml:space="preserve">feedback scenario and the reference for CO</w:t>
      </w:r>
      <w:r>
        <w:rPr>
          <w:vertAlign w:val="subscript"/>
        </w:rPr>
        <w:t xml:space="preserve">2</w:t>
      </w:r>
      <w:r>
        <w:t xml:space="preserve"> </w:t>
      </w:r>
      <w:r>
        <w:t xml:space="preserve">emissions</w:t>
      </w:r>
      <w:r>
        <w:t xml:space="preserve"> </w:t>
      </w:r>
      <w:r>
        <w:t xml:space="preserve">(MtC) in 2100. </w:t>
      </w:r>
      <w:r>
        <w:t xml:space="preserve"> </w:t>
      </w:r>
    </w:p>
    <w:p>
      <w:pPr>
        <w:pStyle w:val="FigureWithCaption"/>
      </w:pPr>
      <w:r>
        <w:drawing>
          <wp:inline>
            <wp:extent cx="5334000" cy="3334726"/>
            <wp:effectExtent b="0" l="0" r="0" t="0"/>
            <wp:docPr descr="Multi-model median difference between the feedback scenario and the reference for HFC134a emissions (Gg) in 2100. " title="" id="1" name="Picture"/>
            <a:graphic>
              <a:graphicData uri="http://schemas.openxmlformats.org/drawingml/2006/picture">
                <pic:pic>
                  <pic:nvPicPr>
                    <pic:cNvPr descr="figures/map-HFC134a-2100/map-hfc-210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347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Multi-model median difference between the feedback scenario and the</w:t>
      </w:r>
      <w:r>
        <w:t xml:space="preserve"> </w:t>
      </w:r>
      <w:r>
        <w:t xml:space="preserve">reference for HFC134a emissions (Gg) in 2100.</w:t>
      </w:r>
      <w:r>
        <w:t xml:space="preserve"> </w:t>
      </w:r>
    </w:p>
    <w:p>
      <w:pPr>
        <w:pStyle w:val="FigureWithCaption"/>
      </w:pPr>
      <w:r>
        <w:drawing>
          <wp:inline>
            <wp:extent cx="5334000" cy="3334726"/>
            <wp:effectExtent b="0" l="0" r="0" t="0"/>
            <wp:docPr descr="Multi-model median difference between the feedback scenario and the reference for electricity demand (EJ) for building cooling in 2100.   " title="" id="1" name="Picture"/>
            <a:graphic>
              <a:graphicData uri="http://schemas.openxmlformats.org/drawingml/2006/picture">
                <pic:pic>
                  <pic:nvPicPr>
                    <pic:cNvPr descr="figures/map-elect-td-bld-2100/map-building-elec-2100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33472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Multi-model median difference between the feedback scenario and the</w:t>
      </w:r>
      <w:r>
        <w:t xml:space="preserve"> </w:t>
      </w:r>
      <w:r>
        <w:t xml:space="preserve">reference for electricity demand (EJ) for building cooling in 2100.  </w:t>
      </w:r>
      <w:r>
        <w:t xml:space="preserve"> </w:t>
      </w:r>
    </w:p>
    <w:p>
      <w:pPr>
        <w:pStyle w:val="Heading1"/>
      </w:pPr>
      <w:bookmarkStart w:id="44" w:name="discussion-and-conclusions"/>
      <w:bookmarkEnd w:id="44"/>
      <w:r>
        <w:t xml:space="preserve">Discussion and Conclusions</w:t>
      </w:r>
    </w:p>
    <w:p>
      <w:pPr>
        <w:pStyle w:val="FirstParagraph"/>
      </w:pPr>
      <w:r>
        <w:t xml:space="preserve">The GCAM modeling framework allow us the opportunity to investigate</w:t>
      </w:r>
      <w:r>
        <w:t xml:space="preserve"> </w:t>
      </w:r>
      <w:r>
        <w:t xml:space="preserve">human-earth system feedbacks.  To highlight this capability we explore</w:t>
      </w:r>
      <w:r>
        <w:t xml:space="preserve"> </w:t>
      </w:r>
      <w:r>
        <w:t xml:space="preserve">the effects of building energy feedbacaks on the human-earth</w:t>
      </w:r>
      <w:r>
        <w:t xml:space="preserve"> </w:t>
      </w:r>
      <w:r>
        <w:t xml:space="preserve">system. When accounting for the feedbacks between increased cooling</w:t>
      </w:r>
      <w:r>
        <w:t xml:space="preserve"> </w:t>
      </w:r>
      <w:r>
        <w:t xml:space="preserve">demands and HFC emissions, global mean temperature increases across all</w:t>
      </w:r>
      <w:r>
        <w:t xml:space="preserve"> </w:t>
      </w:r>
      <w:r>
        <w:t xml:space="preserve">scenarios.  The increase in temperature leads to increased cooling</w:t>
      </w:r>
      <w:r>
        <w:t xml:space="preserve"> </w:t>
      </w:r>
      <w:r>
        <w:t xml:space="preserve">demands for electricity while heating demands for delivered gas and coal</w:t>
      </w:r>
      <w:r>
        <w:t xml:space="preserve"> </w:t>
      </w:r>
      <w:r>
        <w:t xml:space="preserve">decrease.  </w:t>
      </w:r>
    </w:p>
    <w:p>
      <w:pPr>
        <w:pStyle w:val="BodyText"/>
      </w:pPr>
      <w:r>
        <w:br w:type="textWrapping"/>
      </w:r>
      <w:r>
        <w:t xml:space="preserve">In this study we investigated 3 sources of uncertainty, 1. choice of ESM</w:t>
      </w:r>
      <w:r>
        <w:t xml:space="preserve"> </w:t>
      </w:r>
      <w:r>
        <w:t xml:space="preserve">emulated, 2. choice of climate sensitivity, and 3. socioeconomic</w:t>
      </w:r>
      <w:r>
        <w:t xml:space="preserve"> </w:t>
      </w:r>
      <w:r>
        <w:t xml:space="preserve">assumptions . The different ESMs emulated provide different results for</w:t>
      </w:r>
      <w:r>
        <w:t xml:space="preserve"> </w:t>
      </w:r>
      <w:r>
        <w:t xml:space="preserve">the same emission pathway.  Heating and cooling degree days along with</w:t>
      </w:r>
      <w:r>
        <w:t xml:space="preserve"> </w:t>
      </w:r>
      <w:r>
        <w:t xml:space="preserve">energy demands are influenced by model choice.  This has also been</w:t>
      </w:r>
      <w:r>
        <w:t xml:space="preserve"> </w:t>
      </w:r>
      <w:r>
        <w:t xml:space="preserve">documented in (Zhou, Eom, &amp; Clarke, 2013), however, in a  one way coupled</w:t>
      </w:r>
      <w:r>
        <w:t xml:space="preserve"> </w:t>
      </w:r>
      <w:r>
        <w:t xml:space="preserve">simulation.   The choice of climate sensitivity provides us with</w:t>
      </w:r>
      <w:r>
        <w:t xml:space="preserve"> </w:t>
      </w:r>
      <w:r>
        <w:t xml:space="preserve">information on how the earth system will respond to under the same</w:t>
      </w:r>
      <w:r>
        <w:t xml:space="preserve"> </w:t>
      </w:r>
      <w:r>
        <w:t xml:space="preserve">emission pathway.   Lastly, the choice of socioeconomics will influence</w:t>
      </w:r>
      <w:r>
        <w:t xml:space="preserve"> </w:t>
      </w:r>
      <w:r>
        <w:t xml:space="preserve">both the calculation of heating and cooling degree days in each region</w:t>
      </w:r>
      <w:r>
        <w:t xml:space="preserve"> </w:t>
      </w:r>
      <w:r>
        <w:t xml:space="preserve">across difference emission pathways. </w:t>
      </w:r>
    </w:p>
    <w:p>
      <w:pPr>
        <w:pStyle w:val="BodyText"/>
      </w:pPr>
      <w:r>
        <w:br w:type="textWrapping"/>
      </w:r>
      <w:r>
        <w:t xml:space="preserve">Most building energy studies emphasize the need for a regional  focus</w:t>
      </w:r>
      <w:r>
        <w:t xml:space="preserve"> </w:t>
      </w:r>
      <w:r>
        <w:t xml:space="preserve">when investigating energy demands under a changing climate. </w:t>
      </w:r>
      <w:r>
        <w:t xml:space="preserve"> </w:t>
      </w:r>
      <w:r>
        <w:t xml:space="preserve"> (Isaac &amp; van Vuuren, 2009) assessed global energy consumption for residential</w:t>
      </w:r>
      <w:r>
        <w:t xml:space="preserve"> </w:t>
      </w:r>
      <w:r>
        <w:t xml:space="preserve">heating and air conditioning under a changing climate and found</w:t>
      </w:r>
      <w:r>
        <w:t xml:space="preserve"> </w:t>
      </w:r>
      <w:r>
        <w:t xml:space="preserve">considerable impacts in energy demands on regional</w:t>
      </w:r>
      <w:r>
        <w:t xml:space="preserve"> </w:t>
      </w:r>
      <w:r>
        <w:t xml:space="preserve">scales. (</w:t>
      </w:r>
      <w:r>
        <w:rPr>
          <w:i/>
        </w:rPr>
        <w:t xml:space="preserve">Industry, settlement and society. Climate Change 2007: Impacts, Adaptation and Vulnerability . Contribution of Working Group II to the Fourth Assessment Report of the Intergovernmental Panel on Climate Change</w:t>
      </w:r>
      <w:r>
        <w:t xml:space="preserve">, 2007) emphasized the need to consider different</w:t>
      </w:r>
      <w:r>
        <w:t xml:space="preserve"> </w:t>
      </w:r>
      <w:r>
        <w:t xml:space="preserve">fuels to use for heating and cooling, since an increase in cooling</w:t>
      </w:r>
      <w:r>
        <w:t xml:space="preserve"> </w:t>
      </w:r>
      <w:r>
        <w:t xml:space="preserve">demand may lead to an increase in electricity</w:t>
      </w:r>
      <w:r>
        <w:t xml:space="preserve"> </w:t>
      </w:r>
      <w:r>
        <w:t xml:space="preserve">demand.  (Zhou, Eom, &amp; Clarke, 2013) explored the effects of various climate</w:t>
      </w:r>
      <w:r>
        <w:t xml:space="preserve"> </w:t>
      </w:r>
      <w:r>
        <w:t xml:space="preserve">scenarios on building energy demands in China and the U.S. within the</w:t>
      </w:r>
      <w:r>
        <w:t xml:space="preserve"> </w:t>
      </w:r>
      <w:r>
        <w:t xml:space="preserve">GCAM integrated assessment model, finding a 6% decrease in the building</w:t>
      </w:r>
      <w:r>
        <w:t xml:space="preserve"> </w:t>
      </w:r>
      <w:r>
        <w:t xml:space="preserve">sector’s final energy consumption. (Olonscheck, Holsten, &amp; Kropp, 2011) analyzed the</w:t>
      </w:r>
      <w:r>
        <w:t xml:space="preserve"> </w:t>
      </w:r>
      <w:r>
        <w:t xml:space="preserve">combined effect of future changes of climate, building stock, renovation</w:t>
      </w:r>
      <w:r>
        <w:t xml:space="preserve"> </w:t>
      </w:r>
      <w:r>
        <w:t xml:space="preserve">measures, and heating energy systems on residential energy demand in</w:t>
      </w:r>
      <w:r>
        <w:t xml:space="preserve"> </w:t>
      </w:r>
      <w:r>
        <w:t xml:space="preserve">Germany based on a simple building energy system model.  In this study</w:t>
      </w:r>
      <w:r>
        <w:t xml:space="preserve"> </w:t>
      </w:r>
      <w:r>
        <w:t xml:space="preserve">we find that Africa and India have increased electricity demands and</w:t>
      </w:r>
      <w:r>
        <w:t xml:space="preserve"> </w:t>
      </w:r>
      <w:r>
        <w:t xml:space="preserve">increased emissions when accounting for this simple feedback.  Previous</w:t>
      </w:r>
      <w:r>
        <w:t xml:space="preserve"> </w:t>
      </w:r>
      <w:r>
        <w:t xml:space="preserve">studies investigating impacts may underestimate the  energy demands</w:t>
      </w:r>
      <w:r>
        <w:t xml:space="preserve"> </w:t>
      </w:r>
      <w:r>
        <w:t xml:space="preserve">under a changing climate.   </w:t>
      </w:r>
    </w:p>
    <w:p>
      <w:pPr>
        <w:pStyle w:val="BodyText"/>
      </w:pPr>
      <w:r>
        <w:br w:type="textWrapping"/>
      </w:r>
      <w:r>
        <w:t xml:space="preserve">There are some limitations of an aggregate study.  This study focuses on</w:t>
      </w:r>
      <w:r>
        <w:t xml:space="preserve"> </w:t>
      </w:r>
      <w:r>
        <w:t xml:space="preserve">gross energy consumption and not on the temporal or spatial</w:t>
      </w:r>
      <w:r>
        <w:t xml:space="preserve"> </w:t>
      </w:r>
      <w:r>
        <w:t xml:space="preserve">characteristics of heating and cooling load.  For example, heat waves</w:t>
      </w:r>
      <w:r>
        <w:t xml:space="preserve"> </w:t>
      </w:r>
      <w:r>
        <w:t xml:space="preserve">would increase peak load, resulting in different technology investment</w:t>
      </w:r>
      <w:r>
        <w:t xml:space="preserve"> </w:t>
      </w:r>
      <w:r>
        <w:t xml:space="preserve">profiles and emissions (Zhou, Eom, &amp; Clarke, 2013).   Future efforts to reduce</w:t>
      </w:r>
      <w:r>
        <w:t xml:space="preserve"> </w:t>
      </w:r>
      <w:r>
        <w:t xml:space="preserve">HFCs such as the Kigali amendment to the Montreal protocol would have</w:t>
      </w:r>
      <w:r>
        <w:t xml:space="preserve"> </w:t>
      </w:r>
      <w:r>
        <w:t xml:space="preserve">implications on our results, but are not considered in the current</w:t>
      </w:r>
      <w:r>
        <w:t xml:space="preserve"> </w:t>
      </w:r>
      <w:r>
        <w:t xml:space="preserve">analysis.</w:t>
      </w:r>
    </w:p>
    <w:p>
      <w:pPr>
        <w:pStyle w:val="BodyText"/>
      </w:pPr>
      <w:r>
        <w:br w:type="textWrapping"/>
      </w:r>
      <w:r>
        <w:t xml:space="preserve">What about a/c use assumptions in the SSPs? </w:t>
      </w:r>
    </w:p>
    <w:p>
      <w:pPr>
        <w:pStyle w:val="BodyText"/>
      </w:pPr>
      <w:r>
        <w:br w:type="textWrapping"/>
      </w:r>
      <w:r>
        <w:t xml:space="preserve">Without accounting for these feedbacks global mean temperature could be</w:t>
      </w:r>
      <w:r>
        <w:t xml:space="preserve"> </w:t>
      </w:r>
      <w:r>
        <w:t xml:space="preserve">up to 0.3° C less, and we would be missing the significant changes to</w:t>
      </w:r>
      <w:r>
        <w:t xml:space="preserve"> </w:t>
      </w:r>
      <w:r>
        <w:t xml:space="preserve">the energy system and regional changes.  The community is moving toward</w:t>
      </w:r>
      <w:r>
        <w:t xml:space="preserve"> </w:t>
      </w:r>
      <w:r>
        <w:t xml:space="preserve">more fully coupled simulations of the human earth system.  This</w:t>
      </w:r>
      <w:r>
        <w:t xml:space="preserve"> </w:t>
      </w:r>
      <w:r>
        <w:t xml:space="preserve">framework developed sets the stage for exploring feedbacks like, changes</w:t>
      </w:r>
      <w:r>
        <w:t xml:space="preserve"> </w:t>
      </w:r>
      <w:r>
        <w:t xml:space="preserve">in water for energy, water for agriculture,</w:t>
      </w:r>
      <w:r>
        <w:t xml:space="preserve"> </w:t>
      </w:r>
      <w:r>
        <w:t xml:space="preserve">[</w:t>
      </w:r>
      <w:r>
        <w:t xml:space="preserve">insert more feedbacks or</w:t>
      </w:r>
      <w:r>
        <w:t xml:space="preserve"> </w:t>
      </w:r>
      <w:r>
        <w:t xml:space="preserve">give one detailed example(?)</w:t>
      </w:r>
      <w:r>
        <w:t xml:space="preserve">]</w:t>
      </w:r>
      <w:r>
        <w:t xml:space="preserve">.  </w:t>
      </w:r>
    </w:p>
    <w:p>
      <w:pPr>
        <w:pStyle w:val="BodyText"/>
      </w:pPr>
      <w:r>
        <w:br w:type="textWrapping"/>
      </w:r>
    </w:p>
    <w:p>
      <w:pPr>
        <w:pStyle w:val="Heading1"/>
      </w:pPr>
      <w:bookmarkStart w:id="45" w:name="acknowledgements"/>
      <w:bookmarkEnd w:id="45"/>
      <w:r>
        <w:t xml:space="preserve">Acknowledgements</w:t>
      </w:r>
    </w:p>
    <w:p>
      <w:pPr>
        <w:pStyle w:val="FirstParagraph"/>
      </w:pPr>
      <w:r>
        <w:t xml:space="preserve"> </w:t>
      </w:r>
    </w:p>
    <w:p>
      <w:pPr>
        <w:pStyle w:val="Heading1"/>
      </w:pPr>
      <w:bookmarkStart w:id="46" w:name="references"/>
      <w:bookmarkEnd w:id="46"/>
      <w:r>
        <w:t xml:space="preserve">References</w:t>
      </w:r>
    </w:p>
    <w:p>
      <w:pPr>
        <w:pStyle w:val="FirstParagraph"/>
      </w:pPr>
      <w:r>
        <w:t xml:space="preserve">Li, D. H. W., Yang, L., &amp; Lam, J. C. (2012).</w:t>
      </w:r>
      <w:r>
        <w:t xml:space="preserve"> </w:t>
      </w:r>
      <w:r>
        <w:t xml:space="preserve">Impact of climate change on energy use in the built environment in different climate zones A review</w:t>
      </w:r>
      <w:r>
        <w:t xml:space="preserve">.</w:t>
      </w:r>
      <w:r>
        <w:t xml:space="preserve"> </w:t>
      </w:r>
      <w:r>
        <w:rPr>
          <w:i/>
        </w:rPr>
        <w:t xml:space="preserve">Energy</w:t>
      </w:r>
      <w:r>
        <w:t xml:space="preserve">,</w:t>
      </w:r>
      <w:r>
        <w:t xml:space="preserve"> </w:t>
      </w:r>
      <w:r>
        <w:rPr>
          <w:i/>
        </w:rPr>
        <w:t xml:space="preserve">42</w:t>
      </w:r>
      <w:r>
        <w:t xml:space="preserve">(1), 103–112.</w:t>
      </w:r>
      <w:r>
        <w:t xml:space="preserve"> </w:t>
      </w:r>
      <w:hyperlink r:id="rId47">
        <w:r>
          <w:rPr>
            <w:rStyle w:val="Hyperlink"/>
          </w:rPr>
          <w:t xml:space="preserve">http://doi.org/10.1016/j.energy.2012.03.044</w:t>
        </w:r>
      </w:hyperlink>
    </w:p>
    <w:p>
      <w:pPr>
        <w:pStyle w:val="BodyText"/>
      </w:pPr>
      <w:r>
        <w:t xml:space="preserve">Isaac, M., &amp; van Vuuren, D. P. (2009).</w:t>
      </w:r>
      <w:r>
        <w:t xml:space="preserve"> </w:t>
      </w:r>
      <w:r>
        <w:t xml:space="preserve">Modeling global residential sector energy demand for heating and air conditioning in the context of climate change</w:t>
      </w:r>
      <w:r>
        <w:t xml:space="preserve">.</w:t>
      </w:r>
      <w:r>
        <w:t xml:space="preserve"> </w:t>
      </w:r>
      <w:r>
        <w:rPr>
          <w:i/>
        </w:rPr>
        <w:t xml:space="preserve">Energy Policy</w:t>
      </w:r>
      <w:r>
        <w:t xml:space="preserve">,</w:t>
      </w:r>
      <w:r>
        <w:t xml:space="preserve"> </w:t>
      </w:r>
      <w:r>
        <w:rPr>
          <w:i/>
        </w:rPr>
        <w:t xml:space="preserve">37</w:t>
      </w:r>
      <w:r>
        <w:t xml:space="preserve">(2), 507–521.</w:t>
      </w:r>
      <w:r>
        <w:t xml:space="preserve"> </w:t>
      </w:r>
      <w:hyperlink r:id="rId48">
        <w:r>
          <w:rPr>
            <w:rStyle w:val="Hyperlink"/>
          </w:rPr>
          <w:t xml:space="preserve">http://doi.org/https://doi.org/10.1016/j.enpol.2008.09.051</w:t>
        </w:r>
      </w:hyperlink>
    </w:p>
    <w:p>
      <w:pPr>
        <w:pStyle w:val="BodyText"/>
      </w:pPr>
      <w:r>
        <w:t xml:space="preserve">Auffhammer, M., &amp; Mansur, E. T. (2014).</w:t>
      </w:r>
      <w:r>
        <w:t xml:space="preserve"> </w:t>
      </w:r>
      <w:r>
        <w:t xml:space="preserve">Measuring climatic impacts on energy consumption: A review of the empirical literature</w:t>
      </w:r>
      <w:r>
        <w:t xml:space="preserve">.</w:t>
      </w:r>
      <w:r>
        <w:t xml:space="preserve"> </w:t>
      </w:r>
      <w:r>
        <w:rPr>
          <w:i/>
        </w:rPr>
        <w:t xml:space="preserve">Energy Economics</w:t>
      </w:r>
      <w:r>
        <w:t xml:space="preserve">,</w:t>
      </w:r>
      <w:r>
        <w:t xml:space="preserve"> </w:t>
      </w:r>
      <w:r>
        <w:rPr>
          <w:i/>
        </w:rPr>
        <w:t xml:space="preserve">46</w:t>
      </w:r>
      <w:r>
        <w:t xml:space="preserve">, 522–530.</w:t>
      </w:r>
      <w:r>
        <w:t xml:space="preserve"> </w:t>
      </w:r>
      <w:hyperlink r:id="rId49">
        <w:r>
          <w:rPr>
            <w:rStyle w:val="Hyperlink"/>
          </w:rPr>
          <w:t xml:space="preserve">http://doi.org/10.1016/j.eneco.2014.04.017</w:t>
        </w:r>
      </w:hyperlink>
    </w:p>
    <w:p>
      <w:pPr>
        <w:pStyle w:val="BodyText"/>
      </w:pPr>
      <w:r>
        <w:t xml:space="preserve">Yu, S., Eom, J., Zhou, Y., Evans, M., &amp; Clarke, L. (2014).</w:t>
      </w:r>
      <w:r>
        <w:t xml:space="preserve"> </w:t>
      </w:r>
      <w:r>
        <w:t xml:space="preserve">Scenarios of building energy demand for China with a detailed regional representation</w:t>
      </w:r>
      <w:r>
        <w:t xml:space="preserve">.</w:t>
      </w:r>
      <w:r>
        <w:t xml:space="preserve"> </w:t>
      </w:r>
      <w:r>
        <w:rPr>
          <w:i/>
        </w:rPr>
        <w:t xml:space="preserve">Energy</w:t>
      </w:r>
      <w:r>
        <w:t xml:space="preserve">,</w:t>
      </w:r>
      <w:r>
        <w:t xml:space="preserve"> </w:t>
      </w:r>
      <w:r>
        <w:rPr>
          <w:i/>
        </w:rPr>
        <w:t xml:space="preserve">67</w:t>
      </w:r>
      <w:r>
        <w:t xml:space="preserve">, 284–297.</w:t>
      </w:r>
      <w:r>
        <w:t xml:space="preserve"> </w:t>
      </w:r>
      <w:hyperlink r:id="rId50">
        <w:r>
          <w:rPr>
            <w:rStyle w:val="Hyperlink"/>
          </w:rPr>
          <w:t xml:space="preserve">http://doi.org/10.1016/j.energy.2013.12.072</w:t>
        </w:r>
      </w:hyperlink>
    </w:p>
    <w:p>
      <w:pPr>
        <w:pStyle w:val="BodyText"/>
      </w:pPr>
      <w:r>
        <w:t xml:space="preserve">Sharma, M., Chaturvedi, V., &amp; Purohit, P. (2017).</w:t>
      </w:r>
      <w:r>
        <w:t xml:space="preserve"> </w:t>
      </w:r>
      <w:r>
        <w:t xml:space="preserve">Long-term carbon dioxide and hydrofluorocarbon emissions from commercial space cooling and refrigeration in India: a detailed analysis within an integrated assessment modelling framework</w:t>
      </w:r>
      <w:r>
        <w:t xml:space="preserve">.</w:t>
      </w:r>
      <w:r>
        <w:t xml:space="preserve"> </w:t>
      </w:r>
      <w:r>
        <w:rPr>
          <w:i/>
        </w:rPr>
        <w:t xml:space="preserve">Climatic Change</w:t>
      </w:r>
      <w:r>
        <w:t xml:space="preserve">,</w:t>
      </w:r>
      <w:r>
        <w:t xml:space="preserve"> </w:t>
      </w:r>
      <w:r>
        <w:rPr>
          <w:i/>
        </w:rPr>
        <w:t xml:space="preserve">143</w:t>
      </w:r>
      <w:r>
        <w:t xml:space="preserve">(3-4), 503–517.</w:t>
      </w:r>
      <w:r>
        <w:t xml:space="preserve"> </w:t>
      </w:r>
      <w:hyperlink r:id="rId51">
        <w:r>
          <w:rPr>
            <w:rStyle w:val="Hyperlink"/>
          </w:rPr>
          <w:t xml:space="preserve">http://doi.org/10.1007/s10584-017-2002-4</w:t>
        </w:r>
      </w:hyperlink>
    </w:p>
    <w:p>
      <w:pPr>
        <w:pStyle w:val="BodyText"/>
      </w:pPr>
      <w:r>
        <w:t xml:space="preserve">Petri, Y., &amp; Caldeira, K. (2015).</w:t>
      </w:r>
      <w:r>
        <w:t xml:space="preserve"> </w:t>
      </w:r>
      <w:r>
        <w:t xml:space="preserve">Impacts of global warming on residential heating and cooling degree-days in the United States</w:t>
      </w:r>
      <w:r>
        <w:t xml:space="preserve">.</w:t>
      </w:r>
      <w:r>
        <w:t xml:space="preserve"> </w:t>
      </w:r>
      <w:r>
        <w:rPr>
          <w:i/>
        </w:rPr>
        <w:t xml:space="preserve">Scientific Reports</w:t>
      </w:r>
      <w:r>
        <w:t xml:space="preserve">,</w:t>
      </w:r>
      <w:r>
        <w:t xml:space="preserve"> </w:t>
      </w:r>
      <w:r>
        <w:rPr>
          <w:i/>
        </w:rPr>
        <w:t xml:space="preserve">5</w:t>
      </w:r>
      <w:r>
        <w:t xml:space="preserve">(1).</w:t>
      </w:r>
      <w:r>
        <w:t xml:space="preserve"> </w:t>
      </w:r>
      <w:hyperlink r:id="rId52">
        <w:r>
          <w:rPr>
            <w:rStyle w:val="Hyperlink"/>
          </w:rPr>
          <w:t xml:space="preserve">http://doi.org/10.1038/srep12427</w:t>
        </w:r>
      </w:hyperlink>
    </w:p>
    <w:p>
      <w:pPr>
        <w:pStyle w:val="BodyText"/>
      </w:pPr>
      <w:r>
        <w:t xml:space="preserve">Labriet, M., Joshi, S. R., Vielle, M., Holden, P. B., Edwards, N. R., Kanudia, A., … Babonneau, F. (2013).</w:t>
      </w:r>
      <w:r>
        <w:t xml:space="preserve"> </w:t>
      </w:r>
      <w:r>
        <w:t xml:space="preserve">Worldwide impacts of climate change on energy for heating and cooling</w:t>
      </w:r>
      <w:r>
        <w:t xml:space="preserve">.</w:t>
      </w:r>
      <w:r>
        <w:t xml:space="preserve"> </w:t>
      </w:r>
      <w:r>
        <w:rPr>
          <w:i/>
        </w:rPr>
        <w:t xml:space="preserve">Mitigation and Adaptation Strategies for Global Change</w:t>
      </w:r>
      <w:r>
        <w:t xml:space="preserve">,</w:t>
      </w:r>
      <w:r>
        <w:t xml:space="preserve"> </w:t>
      </w:r>
      <w:r>
        <w:rPr>
          <w:i/>
        </w:rPr>
        <w:t xml:space="preserve">20</w:t>
      </w:r>
      <w:r>
        <w:t xml:space="preserve">(7), 1111–1136.</w:t>
      </w:r>
      <w:r>
        <w:t xml:space="preserve"> </w:t>
      </w:r>
      <w:hyperlink r:id="rId53">
        <w:r>
          <w:rPr>
            <w:rStyle w:val="Hyperlink"/>
          </w:rPr>
          <w:t xml:space="preserve">http://doi.org/10.1007/s11027-013-9522-7</w:t>
        </w:r>
      </w:hyperlink>
    </w:p>
    <w:p>
      <w:pPr>
        <w:pStyle w:val="BodyText"/>
      </w:pPr>
      <w:r>
        <w:t xml:space="preserve">Calvin, K., Clarke, L., Edmonds, J., Eom, J., Hejazi, M., Kim, S., … others. (2016).</w:t>
      </w:r>
      <w:r>
        <w:t xml:space="preserve"> </w:t>
      </w:r>
      <w:r>
        <w:t xml:space="preserve">GCAM</w:t>
      </w:r>
      <w:r>
        <w:t xml:space="preserve"> </w:t>
      </w:r>
      <w:r>
        <w:t xml:space="preserve">User Guide, version 4.3</w:t>
      </w:r>
      <w:r>
        <w:t xml:space="preserve">. Retrieved from</w:t>
      </w:r>
      <w:r>
        <w:t xml:space="preserve"> </w:t>
      </w:r>
      <w:hyperlink r:id="rId54">
        <w:r>
          <w:rPr>
            <w:rStyle w:val="Hyperlink"/>
          </w:rPr>
          <w:t xml:space="preserve">http://jgcri.github.io/gcam-doc/toc.html</w:t>
        </w:r>
      </w:hyperlink>
    </w:p>
    <w:p>
      <w:pPr>
        <w:pStyle w:val="BodyText"/>
      </w:pPr>
      <w:r>
        <w:t xml:space="preserve">M.A. Wise, K. V. C. (2011).</w:t>
      </w:r>
      <w:r>
        <w:t xml:space="preserve"> </w:t>
      </w:r>
      <w:r>
        <w:rPr>
          <w:i/>
        </w:rPr>
        <w:t xml:space="preserve">GCAM 3.0 Agriculture and Land Use: Technical Description of Modeling Approach</w:t>
      </w:r>
      <w:r>
        <w:t xml:space="preserve">. PNNL-20971, Pacific Northwest National Laboratory, Richland, WA.</w:t>
      </w:r>
    </w:p>
    <w:p>
      <w:pPr>
        <w:pStyle w:val="BodyText"/>
      </w:pPr>
      <w:r>
        <w:t xml:space="preserve">Hartin, C. A., Patel, P., Schwarber, A., Link, R. P., &amp; Bond-Lamberty, B. P. (2015).</w:t>
      </w:r>
      <w:r>
        <w:t xml:space="preserve"> </w:t>
      </w:r>
      <w:r>
        <w:t xml:space="preserve">A simple object-oriented and open-source model for scientific and policy analyses of the global climate system–Hector v1. 0</w:t>
      </w:r>
      <w:r>
        <w:t xml:space="preserve">.</w:t>
      </w:r>
      <w:r>
        <w:t xml:space="preserve"> </w:t>
      </w:r>
      <w:r>
        <w:rPr>
          <w:i/>
        </w:rPr>
        <w:t xml:space="preserve">Geoscientific Model Development</w:t>
      </w:r>
      <w:r>
        <w:t xml:space="preserve">,</w:t>
      </w:r>
      <w:r>
        <w:t xml:space="preserve"> </w:t>
      </w:r>
      <w:r>
        <w:rPr>
          <w:i/>
        </w:rPr>
        <w:t xml:space="preserve">8</w:t>
      </w:r>
      <w:r>
        <w:t xml:space="preserve">(4), 939–955.</w:t>
      </w:r>
    </w:p>
    <w:p>
      <w:pPr>
        <w:pStyle w:val="BodyText"/>
      </w:pPr>
      <w:r>
        <w:t xml:space="preserve">Eom, J., Clarke, L., Kim, S. H., Kyle, P., &amp; Patel, P. (2012).</w:t>
      </w:r>
      <w:r>
        <w:t xml:space="preserve"> </w:t>
      </w:r>
      <w:r>
        <w:t xml:space="preserve">China’s building energy demand: Long-term implications from a detailed assessment</w:t>
      </w:r>
      <w:r>
        <w:t xml:space="preserve">.</w:t>
      </w:r>
      <w:r>
        <w:t xml:space="preserve"> </w:t>
      </w:r>
      <w:r>
        <w:rPr>
          <w:i/>
        </w:rPr>
        <w:t xml:space="preserve">Energy</w:t>
      </w:r>
      <w:r>
        <w:t xml:space="preserve">,</w:t>
      </w:r>
      <w:r>
        <w:t xml:space="preserve"> </w:t>
      </w:r>
      <w:r>
        <w:rPr>
          <w:i/>
        </w:rPr>
        <w:t xml:space="preserve">46</w:t>
      </w:r>
      <w:r>
        <w:t xml:space="preserve">(1), 405–419.</w:t>
      </w:r>
    </w:p>
    <w:p>
      <w:pPr>
        <w:pStyle w:val="BodyText"/>
      </w:pPr>
      <w:r>
        <w:t xml:space="preserve">Chaturvedi, V., Eom, J., Clarke, L. E., &amp; Shukla, P. R. (2013).</w:t>
      </w:r>
      <w:r>
        <w:t xml:space="preserve"> </w:t>
      </w:r>
      <w:r>
        <w:t xml:space="preserve">Long-Term Evolution of Building Energy Demand for India: Disaggregating End Use Energy Services in an Integrated Assessment Modeling Framework</w:t>
      </w:r>
      <w:r>
        <w:t xml:space="preserve">. Energy Modeling Forum, Stanford University.</w:t>
      </w:r>
    </w:p>
    <w:p>
      <w:pPr>
        <w:pStyle w:val="BodyText"/>
      </w:pPr>
      <w:r>
        <w:t xml:space="preserve">Zhou, Y., Eom, J., &amp; Clarke, L. (2013).</w:t>
      </w:r>
      <w:r>
        <w:t xml:space="preserve"> </w:t>
      </w:r>
      <w:r>
        <w:t xml:space="preserve">The effect of global climate change, population distribution, and climate mitigation on building energy use in the US and China</w:t>
      </w:r>
      <w:r>
        <w:t xml:space="preserve">.</w:t>
      </w:r>
      <w:r>
        <w:t xml:space="preserve"> </w:t>
      </w:r>
      <w:r>
        <w:rPr>
          <w:i/>
        </w:rPr>
        <w:t xml:space="preserve">Climatic Change</w:t>
      </w:r>
      <w:r>
        <w:t xml:space="preserve">,</w:t>
      </w:r>
      <w:r>
        <w:t xml:space="preserve"> </w:t>
      </w:r>
      <w:r>
        <w:rPr>
          <w:i/>
        </w:rPr>
        <w:t xml:space="preserve">119</w:t>
      </w:r>
      <w:r>
        <w:t xml:space="preserve">(3-4), 979–992.</w:t>
      </w:r>
    </w:p>
    <w:p>
      <w:pPr>
        <w:pStyle w:val="BodyText"/>
      </w:pPr>
      <w:r>
        <w:t xml:space="preserve">Eom, J., Clarke, L. E., Kim, S. H., Kyle, G. P., &amp; Patel, P. L. (2012).</w:t>
      </w:r>
      <w:r>
        <w:t xml:space="preserve"> </w:t>
      </w:r>
      <w:r>
        <w:rPr>
          <w:i/>
        </w:rPr>
        <w:t xml:space="preserve">Chinas Building Energy Use: A Long-Term Perspective based on a Detailed Assessment</w:t>
      </w:r>
      <w:r>
        <w:t xml:space="preserve">. Office of Scientific and Technical Information (</w:t>
      </w:r>
      <w:r>
        <w:t xml:space="preserve">OSTI</w:t>
      </w:r>
      <w:r>
        <w:t xml:space="preserve">). Retrieved from</w:t>
      </w:r>
      <w:r>
        <w:t xml:space="preserve"> </w:t>
      </w:r>
      <w:hyperlink r:id="rId55">
        <w:r>
          <w:rPr>
            <w:rStyle w:val="Hyperlink"/>
          </w:rPr>
          <w:t xml:space="preserve">https://doi.org/10.2172%2F1034232</w:t>
        </w:r>
      </w:hyperlink>
    </w:p>
    <w:p>
      <w:pPr>
        <w:pStyle w:val="BodyText"/>
      </w:pPr>
      <w:r>
        <w:t xml:space="preserve">Riahi, K., van Vuuren, D. P., Kriegler, E., Edmonds, J., O’Neill, B. C., Fujimori, S., … Tavoni, M. (2017).</w:t>
      </w:r>
      <w:r>
        <w:t xml:space="preserve"> </w:t>
      </w:r>
      <w:r>
        <w:t xml:space="preserve">The Shared Socioeconomic Pathways and their energy land use, and greenhouse gas emissions implications: An overview</w:t>
      </w:r>
      <w:r>
        <w:t xml:space="preserve">.</w:t>
      </w:r>
      <w:r>
        <w:t xml:space="preserve"> </w:t>
      </w:r>
      <w:r>
        <w:rPr>
          <w:i/>
        </w:rPr>
        <w:t xml:space="preserve">Global Environmental Change</w:t>
      </w:r>
      <w:r>
        <w:t xml:space="preserve">,</w:t>
      </w:r>
      <w:r>
        <w:t xml:space="preserve"> </w:t>
      </w:r>
      <w:r>
        <w:rPr>
          <w:i/>
        </w:rPr>
        <w:t xml:space="preserve">42</w:t>
      </w:r>
      <w:r>
        <w:t xml:space="preserve">, 153–168.</w:t>
      </w:r>
      <w:r>
        <w:t xml:space="preserve"> </w:t>
      </w:r>
      <w:hyperlink r:id="rId56">
        <w:r>
          <w:rPr>
            <w:rStyle w:val="Hyperlink"/>
          </w:rPr>
          <w:t xml:space="preserve">http://doi.org/10.1016/j.gloenvcha.2016.05.009</w:t>
        </w:r>
      </w:hyperlink>
    </w:p>
    <w:p>
      <w:pPr>
        <w:pStyle w:val="BodyText"/>
      </w:pPr>
      <w:r>
        <w:t xml:space="preserve">van Vuuren, D. P., Stehfest, E., Gernaat, D. E. H. J., Doelman, J. C., van den Berg, M., Harmsen, M., … Tabeau, A. (2017).</w:t>
      </w:r>
      <w:r>
        <w:t xml:space="preserve"> </w:t>
      </w:r>
      <w:r>
        <w:t xml:space="preserve">Energy land-use and greenhouse gas emissions trajectories under a green growth paradigm</w:t>
      </w:r>
      <w:r>
        <w:t xml:space="preserve">.</w:t>
      </w:r>
      <w:r>
        <w:t xml:space="preserve"> </w:t>
      </w:r>
      <w:r>
        <w:rPr>
          <w:i/>
        </w:rPr>
        <w:t xml:space="preserve">Global Environmental Change</w:t>
      </w:r>
      <w:r>
        <w:t xml:space="preserve">,</w:t>
      </w:r>
      <w:r>
        <w:t xml:space="preserve"> </w:t>
      </w:r>
      <w:r>
        <w:rPr>
          <w:i/>
        </w:rPr>
        <w:t xml:space="preserve">42</w:t>
      </w:r>
      <w:r>
        <w:t xml:space="preserve">, 237–250.</w:t>
      </w:r>
      <w:r>
        <w:t xml:space="preserve"> </w:t>
      </w:r>
      <w:hyperlink r:id="rId57">
        <w:r>
          <w:rPr>
            <w:rStyle w:val="Hyperlink"/>
          </w:rPr>
          <w:t xml:space="preserve">http://doi.org/10.1016/j.gloenvcha.2016.05.008</w:t>
        </w:r>
      </w:hyperlink>
    </w:p>
    <w:p>
      <w:pPr>
        <w:pStyle w:val="BodyText"/>
      </w:pPr>
      <w:r>
        <w:t xml:space="preserve">Fricko, O., Havlik, P., Rogelj, J., Klimont, Z., Gusti, M., Johnson, N., … Riahi, K. (2017).</w:t>
      </w:r>
      <w:r>
        <w:t xml:space="preserve"> </w:t>
      </w:r>
      <w:r>
        <w:t xml:space="preserve">The marker quantification of the Shared Socioeconomic Pathway 2: A middle-of-the-road scenario for the 21st century</w:t>
      </w:r>
      <w:r>
        <w:t xml:space="preserve">.</w:t>
      </w:r>
      <w:r>
        <w:t xml:space="preserve"> </w:t>
      </w:r>
      <w:r>
        <w:rPr>
          <w:i/>
        </w:rPr>
        <w:t xml:space="preserve">Global Environmental Change</w:t>
      </w:r>
      <w:r>
        <w:t xml:space="preserve">,</w:t>
      </w:r>
      <w:r>
        <w:t xml:space="preserve"> </w:t>
      </w:r>
      <w:r>
        <w:rPr>
          <w:i/>
        </w:rPr>
        <w:t xml:space="preserve">42</w:t>
      </w:r>
      <w:r>
        <w:t xml:space="preserve">(Supplement C), 251–267.</w:t>
      </w:r>
      <w:r>
        <w:t xml:space="preserve"> </w:t>
      </w:r>
      <w:hyperlink r:id="rId58">
        <w:r>
          <w:rPr>
            <w:rStyle w:val="Hyperlink"/>
          </w:rPr>
          <w:t xml:space="preserve">http://doi.org/https://doi.org/10.1016/j.gloenvcha.2016.06.004</w:t>
        </w:r>
      </w:hyperlink>
    </w:p>
    <w:p>
      <w:pPr>
        <w:pStyle w:val="BodyText"/>
      </w:pPr>
      <w:r>
        <w:t xml:space="preserve">Kriegler, E., Bauer, N., Popp, A., Humpenöder, F., Leimbach, M., Strefler, J., … Edenhofer, O. (2017).</w:t>
      </w:r>
      <w:r>
        <w:t xml:space="preserve"> </w:t>
      </w:r>
      <w:r>
        <w:t xml:space="preserve">Fossil-fueled development (</w:t>
      </w:r>
      <w:r>
        <w:t xml:space="preserve">SSP</w:t>
      </w:r>
      <w:r>
        <w:t xml:space="preserve">5): An energy and resource intensive scenario for the 21st century</w:t>
      </w:r>
      <w:r>
        <w:t xml:space="preserve">.</w:t>
      </w:r>
      <w:r>
        <w:t xml:space="preserve"> </w:t>
      </w:r>
      <w:r>
        <w:rPr>
          <w:i/>
        </w:rPr>
        <w:t xml:space="preserve">Global Environmental Change</w:t>
      </w:r>
      <w:r>
        <w:t xml:space="preserve">,</w:t>
      </w:r>
      <w:r>
        <w:t xml:space="preserve"> </w:t>
      </w:r>
      <w:r>
        <w:rPr>
          <w:i/>
        </w:rPr>
        <w:t xml:space="preserve">42</w:t>
      </w:r>
      <w:r>
        <w:t xml:space="preserve">, 297–315.</w:t>
      </w:r>
      <w:r>
        <w:t xml:space="preserve"> </w:t>
      </w:r>
      <w:hyperlink r:id="rId59">
        <w:r>
          <w:rPr>
            <w:rStyle w:val="Hyperlink"/>
          </w:rPr>
          <w:t xml:space="preserve">http://doi.org/10.1016/j.gloenvcha.2016.05.015</w:t>
        </w:r>
      </w:hyperlink>
    </w:p>
    <w:p>
      <w:pPr>
        <w:pStyle w:val="BodyText"/>
      </w:pPr>
      <w:r>
        <w:t xml:space="preserve">Zhou, Y., Eom, J., &amp; Clarke, L. (2013).</w:t>
      </w:r>
      <w:r>
        <w:t xml:space="preserve"> </w:t>
      </w:r>
      <w:r>
        <w:t xml:space="preserve">The effect of global climate change population distribution, and climate mitigation on building energy use in the U.S. and China</w:t>
      </w:r>
      <w:r>
        <w:t xml:space="preserve">.</w:t>
      </w:r>
      <w:r>
        <w:t xml:space="preserve"> </w:t>
      </w:r>
      <w:r>
        <w:rPr>
          <w:i/>
        </w:rPr>
        <w:t xml:space="preserve">Climatic Change</w:t>
      </w:r>
      <w:r>
        <w:t xml:space="preserve">,</w:t>
      </w:r>
      <w:r>
        <w:t xml:space="preserve"> </w:t>
      </w:r>
      <w:r>
        <w:rPr>
          <w:i/>
        </w:rPr>
        <w:t xml:space="preserve">119</w:t>
      </w:r>
      <w:r>
        <w:t xml:space="preserve">(3-4), 979–992.</w:t>
      </w:r>
      <w:r>
        <w:t xml:space="preserve"> </w:t>
      </w:r>
      <w:hyperlink r:id="rId60">
        <w:r>
          <w:rPr>
            <w:rStyle w:val="Hyperlink"/>
          </w:rPr>
          <w:t xml:space="preserve">http://doi.org/10.1007/s10584-013-0772-x</w:t>
        </w:r>
      </w:hyperlink>
    </w:p>
    <w:p>
      <w:pPr>
        <w:pStyle w:val="BodyText"/>
      </w:pPr>
      <w:r>
        <w:t xml:space="preserve">(2007). M.L. Parry, O.F. Canziani, J.P. Palutikof, P.J. van der Linden and C.E. Hanson, Eds., Cambridge University Press, Cambridge, UK, 357-390.</w:t>
      </w:r>
    </w:p>
    <w:p>
      <w:pPr>
        <w:pStyle w:val="BodyText"/>
      </w:pPr>
      <w:r>
        <w:t xml:space="preserve">Olonscheck, M., Holsten, A., &amp; Kropp, J. P. (2011).</w:t>
      </w:r>
      <w:r>
        <w:t xml:space="preserve"> </w:t>
      </w:r>
      <w:r>
        <w:t xml:space="preserve">Heating and cooling energy demand and related emissions of the German residential building stock under climate change</w:t>
      </w:r>
      <w:r>
        <w:t xml:space="preserve">.</w:t>
      </w:r>
      <w:r>
        <w:t xml:space="preserve"> </w:t>
      </w:r>
      <w:r>
        <w:rPr>
          <w:i/>
        </w:rPr>
        <w:t xml:space="preserve">Energy Policy</w:t>
      </w:r>
      <w:r>
        <w:t xml:space="preserve">,</w:t>
      </w:r>
      <w:r>
        <w:t xml:space="preserve"> </w:t>
      </w:r>
      <w:r>
        <w:rPr>
          <w:i/>
        </w:rPr>
        <w:t xml:space="preserve">39</w:t>
      </w:r>
      <w:r>
        <w:t xml:space="preserve">(9), 4795–4806.</w:t>
      </w:r>
    </w:p>
    <w:p>
      <w:pPr>
        <w:pStyle w:val="BodyText"/>
      </w:pPr>
      <w:r>
        <w:t xml:space="preserve">Zhou, J., Xue, Z., Du, Z., Melese, T., &amp; Boyer, P. D. (1988).</w:t>
      </w:r>
      <w:r>
        <w:t xml:space="preserve"> </w:t>
      </w:r>
      <w:r>
        <w:t xml:space="preserve">Relationship of tightly bound</w:t>
      </w:r>
      <w:r>
        <w:t xml:space="preserve"> </w:t>
      </w:r>
      <w:r>
        <w:t xml:space="preserve">ADP</w:t>
      </w:r>
      <w:r>
        <w:t xml:space="preserve"> </w:t>
      </w:r>
      <w:r>
        <w:t xml:space="preserve">and</w:t>
      </w:r>
      <w:r>
        <w:t xml:space="preserve"> </w:t>
      </w:r>
      <w:r>
        <w:t xml:space="preserve">ATP</w:t>
      </w:r>
      <w:r>
        <w:t xml:space="preserve"> </w:t>
      </w:r>
      <w:r>
        <w:t xml:space="preserve">to control and catalysis by chloroplast</w:t>
      </w:r>
      <w:r>
        <w:t xml:space="preserve"> </w:t>
      </w:r>
      <w:r>
        <w:t xml:space="preserve">ATP</w:t>
      </w:r>
      <w:r>
        <w:t xml:space="preserve"> </w:t>
      </w:r>
      <w:r>
        <w:t xml:space="preserve">synthase</w:t>
      </w:r>
      <w:r>
        <w:t xml:space="preserve">.</w:t>
      </w:r>
      <w:r>
        <w:t xml:space="preserve"> </w:t>
      </w:r>
      <w:r>
        <w:rPr>
          <w:i/>
        </w:rPr>
        <w:t xml:space="preserve">Biochemistry</w:t>
      </w:r>
      <w:r>
        <w:t xml:space="preserve">,</w:t>
      </w:r>
      <w:r>
        <w:t xml:space="preserve"> </w:t>
      </w:r>
      <w:r>
        <w:rPr>
          <w:i/>
        </w:rPr>
        <w:t xml:space="preserve">27</w:t>
      </w:r>
      <w:r>
        <w:t xml:space="preserve">(14), 5129–5135.</w:t>
      </w:r>
      <w:r>
        <w:t xml:space="preserve"> </w:t>
      </w:r>
      <w:hyperlink r:id="rId61">
        <w:r>
          <w:rPr>
            <w:rStyle w:val="Hyperlink"/>
          </w:rPr>
          <w:t xml:space="preserve">http://doi.org/10.1021/bi00414a027</w:t>
        </w:r>
      </w:hyperlink>
    </w:p>
    <w:p>
      <w:pPr>
        <w:pStyle w:val="BodyText"/>
      </w:pPr>
      <w:r>
        <w:t xml:space="preserve">Boyer, P. D. (1998).</w:t>
      </w:r>
      <w:r>
        <w:t xml:space="preserve"> </w:t>
      </w:r>
      <w:r>
        <w:t xml:space="preserve">Energy Life, and</w:t>
      </w:r>
      <w:r>
        <w:t xml:space="preserve"> </w:t>
      </w:r>
      <w:r>
        <w:t xml:space="preserve">ATP</w:t>
      </w:r>
      <w:r>
        <w:t xml:space="preserve"> </w:t>
      </w:r>
      <w:r>
        <w:t xml:space="preserve">(Nobel Lecture)</w:t>
      </w:r>
      <w:r>
        <w:t xml:space="preserve">.</w:t>
      </w:r>
      <w:r>
        <w:t xml:space="preserve"> </w:t>
      </w:r>
      <w:r>
        <w:rPr>
          <w:i/>
        </w:rPr>
        <w:t xml:space="preserve">Angewandte Chemie International Edition</w:t>
      </w:r>
      <w:r>
        <w:t xml:space="preserve">,</w:t>
      </w:r>
      <w:r>
        <w:t xml:space="preserve"> </w:t>
      </w:r>
      <w:r>
        <w:rPr>
          <w:i/>
        </w:rPr>
        <w:t xml:space="preserve">37</w:t>
      </w:r>
      <w:r>
        <w:t xml:space="preserve">(17), 2296–2307.</w:t>
      </w:r>
      <w:r>
        <w:t xml:space="preserve"> </w:t>
      </w:r>
      <w:hyperlink r:id="rId62">
        <w:r>
          <w:rPr>
            <w:rStyle w:val="Hyperlink"/>
          </w:rPr>
          <w:t xml:space="preserve">http://doi.org/10.1002/(sici)1521-3773(19980918)37:17&lt;2296::aid-anie2296&gt;3.0.co;2-w</w:t>
        </w:r>
      </w:hyperlink>
    </w:p>
    <w:p>
      <w:pPr>
        <w:pStyle w:val="BodyText"/>
      </w:pPr>
      <w:r>
        <w:t xml:space="preserve">Zinszer, K., Morrison, K., Verma, A., &amp; Brownstein, J. S. (2017).</w:t>
      </w:r>
      <w:r>
        <w:t xml:space="preserve"> </w:t>
      </w:r>
      <w:r>
        <w:t xml:space="preserve">Spatial Determinants of Ebola Virus Disease Risk for the West African Epidemic.</w:t>
      </w:r>
      <w:r>
        <w:t xml:space="preserve">.</w:t>
      </w:r>
      <w:r>
        <w:t xml:space="preserve"> </w:t>
      </w:r>
      <w:r>
        <w:rPr>
          <w:i/>
        </w:rPr>
        <w:t xml:space="preserve">PLoS Curr</w:t>
      </w:r>
      <w:r>
        <w:t xml:space="preserve">,</w:t>
      </w:r>
      <w:r>
        <w:t xml:space="preserve"> </w:t>
      </w:r>
      <w:r>
        <w:rPr>
          <w:i/>
        </w:rPr>
        <w:t xml:space="preserve">9</w:t>
      </w:r>
      <w:r>
        <w:t xml:space="preserve">.</w:t>
      </w:r>
    </w:p>
    <w:p>
      <w:pPr>
        <w:pStyle w:val="BodyText"/>
      </w:pPr>
      <w:r>
        <w:t xml:space="preserve">Riahi, K., van Vuuren, D. P., Kriegler, E., Edmonds, J., O’Neill, B. C., Fujimori, S., … Tavoni, M. (2017).</w:t>
      </w:r>
      <w:r>
        <w:t xml:space="preserve"> </w:t>
      </w:r>
      <w:r>
        <w:t xml:space="preserve">The Shared Socioeconomic Pathways and their energy, land use, and greenhouse gas emissions implications: An overview</w:t>
      </w:r>
      <w:r>
        <w:t xml:space="preserve">.</w:t>
      </w:r>
      <w:r>
        <w:t xml:space="preserve"> </w:t>
      </w:r>
      <w:r>
        <w:rPr>
          <w:i/>
        </w:rPr>
        <w:t xml:space="preserve">Global Environmental Change</w:t>
      </w:r>
      <w:r>
        <w:t xml:space="preserve">,</w:t>
      </w:r>
      <w:r>
        <w:t xml:space="preserve"> </w:t>
      </w:r>
      <w:r>
        <w:rPr>
          <w:i/>
        </w:rPr>
        <w:t xml:space="preserve">42</w:t>
      </w:r>
      <w:r>
        <w:t xml:space="preserve">(Supplement C), 153–168.</w:t>
      </w:r>
      <w:r>
        <w:t xml:space="preserve"> </w:t>
      </w:r>
      <w:hyperlink r:id="rId63">
        <w:r>
          <w:rPr>
            <w:rStyle w:val="Hyperlink"/>
          </w:rPr>
          <w:t xml:space="preserve">http://doi.org/https://doi.org/10.1016/j.gloenvcha.2016.05.009</w:t>
        </w:r>
      </w:hyperlink>
    </w:p>
    <w:p>
      <w:pPr>
        <w:pStyle w:val="BodyText"/>
      </w:pPr>
      <w:r>
        <w:t xml:space="preserve">Isaac, M., &amp; van Vuuren, D. P. (2009).</w:t>
      </w:r>
      <w:r>
        <w:t xml:space="preserve"> </w:t>
      </w:r>
      <w:r>
        <w:t xml:space="preserve">Modeling global residential sector energy demand for heating and air conditioning in the context of climate change</w:t>
      </w:r>
      <w:r>
        <w:t xml:space="preserve">.</w:t>
      </w:r>
      <w:r>
        <w:t xml:space="preserve"> </w:t>
      </w:r>
      <w:r>
        <w:rPr>
          <w:i/>
        </w:rPr>
        <w:t xml:space="preserve">Energy Policy</w:t>
      </w:r>
      <w:r>
        <w:t xml:space="preserve">,</w:t>
      </w:r>
      <w:r>
        <w:t xml:space="preserve"> </w:t>
      </w:r>
      <w:r>
        <w:rPr>
          <w:i/>
        </w:rPr>
        <w:t xml:space="preserve">37</w:t>
      </w:r>
      <w:r>
        <w:t xml:space="preserve">(2), 507–521.</w:t>
      </w:r>
      <w:r>
        <w:t xml:space="preserve"> </w:t>
      </w:r>
      <w:hyperlink r:id="rId64">
        <w:r>
          <w:rPr>
            <w:rStyle w:val="Hyperlink"/>
          </w:rPr>
          <w:t xml:space="preserve">http://doi.org/10.1016/j.enpol.2008.09.051</w:t>
        </w:r>
      </w:hyperlink>
    </w:p>
    <w:p>
      <w:pPr>
        <w:pStyle w:val="BodyText"/>
      </w:pPr>
      <w:r>
        <w:t xml:space="preserve">Wang, H., &amp; Chen, Q. (2014).</w:t>
      </w:r>
      <w:r>
        <w:t xml:space="preserve"> </w:t>
      </w:r>
      <w:r>
        <w:t xml:space="preserve">Impact of climate change heating and cooling energy use in buildings in the United States</w:t>
      </w:r>
      <w:r>
        <w:t xml:space="preserve">.</w:t>
      </w:r>
      <w:r>
        <w:t xml:space="preserve"> </w:t>
      </w:r>
      <w:r>
        <w:rPr>
          <w:i/>
        </w:rPr>
        <w:t xml:space="preserve">Energy and Buildings</w:t>
      </w:r>
      <w:r>
        <w:t xml:space="preserve">,</w:t>
      </w:r>
      <w:r>
        <w:t xml:space="preserve"> </w:t>
      </w:r>
      <w:r>
        <w:rPr>
          <w:i/>
        </w:rPr>
        <w:t xml:space="preserve">82</w:t>
      </w:r>
      <w:r>
        <w:t xml:space="preserve">, 428–436.</w:t>
      </w:r>
      <w:r>
        <w:t xml:space="preserve"> </w:t>
      </w:r>
      <w:hyperlink r:id="rId65">
        <w:r>
          <w:rPr>
            <w:rStyle w:val="Hyperlink"/>
          </w:rPr>
          <w:t xml:space="preserve">http://doi.org/https://doi.org/10.1016/j.enbuild.2014.07.034</w:t>
        </w:r>
      </w:hyperlink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f4a5ac72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36" Target="media/rId36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9" Target="media/rId39.png" /><Relationship Type="http://schemas.openxmlformats.org/officeDocument/2006/relationships/image" Id="rId33" Target="media/rId33.png" /><Relationship Type="http://schemas.openxmlformats.org/officeDocument/2006/relationships/image" Id="rId34" Target="media/rId34.png" /><Relationship Type="http://schemas.openxmlformats.org/officeDocument/2006/relationships/image" Id="rId41" Target="media/rId41.png" /><Relationship Type="http://schemas.openxmlformats.org/officeDocument/2006/relationships/image" Id="rId42" Target="media/rId42.png" /><Relationship Type="http://schemas.openxmlformats.org/officeDocument/2006/relationships/image" Id="rId43" Target="media/rId43.png" /><Relationship Type="http://schemas.openxmlformats.org/officeDocument/2006/relationships/image" Id="rId26" Target="media/rId26.png" /><Relationship Type="http://schemas.openxmlformats.org/officeDocument/2006/relationships/image" Id="rId38" Target="media/rId38.png" /><Relationship Type="http://schemas.openxmlformats.org/officeDocument/2006/relationships/hyperlink" Id="rId62" Target="http://doi.org/10.1002/(sici)1521-3773(19980918)37:17&lt;2296::aid-anie2296&gt;3.0.co;2-w" TargetMode="External" /><Relationship Type="http://schemas.openxmlformats.org/officeDocument/2006/relationships/hyperlink" Id="rId60" Target="http://doi.org/10.1007/s10584-013-0772-x" TargetMode="External" /><Relationship Type="http://schemas.openxmlformats.org/officeDocument/2006/relationships/hyperlink" Id="rId51" Target="http://doi.org/10.1007/s10584-017-2002-4" TargetMode="External" /><Relationship Type="http://schemas.openxmlformats.org/officeDocument/2006/relationships/hyperlink" Id="rId53" Target="http://doi.org/10.1007/s11027-013-9522-7" TargetMode="External" /><Relationship Type="http://schemas.openxmlformats.org/officeDocument/2006/relationships/hyperlink" Id="rId49" Target="http://doi.org/10.1016/j.eneco.2014.04.017" TargetMode="External" /><Relationship Type="http://schemas.openxmlformats.org/officeDocument/2006/relationships/hyperlink" Id="rId47" Target="http://doi.org/10.1016/j.energy.2012.03.044" TargetMode="External" /><Relationship Type="http://schemas.openxmlformats.org/officeDocument/2006/relationships/hyperlink" Id="rId50" Target="http://doi.org/10.1016/j.energy.2013.12.072" TargetMode="External" /><Relationship Type="http://schemas.openxmlformats.org/officeDocument/2006/relationships/hyperlink" Id="rId64" Target="http://doi.org/10.1016/j.enpol.2008.09.051" TargetMode="External" /><Relationship Type="http://schemas.openxmlformats.org/officeDocument/2006/relationships/hyperlink" Id="rId57" Target="http://doi.org/10.1016/j.gloenvcha.2016.05.008" TargetMode="External" /><Relationship Type="http://schemas.openxmlformats.org/officeDocument/2006/relationships/hyperlink" Id="rId56" Target="http://doi.org/10.1016/j.gloenvcha.2016.05.009" TargetMode="External" /><Relationship Type="http://schemas.openxmlformats.org/officeDocument/2006/relationships/hyperlink" Id="rId59" Target="http://doi.org/10.1016/j.gloenvcha.2016.05.015" TargetMode="External" /><Relationship Type="http://schemas.openxmlformats.org/officeDocument/2006/relationships/hyperlink" Id="rId61" Target="http://doi.org/10.1021/bi00414a027" TargetMode="External" /><Relationship Type="http://schemas.openxmlformats.org/officeDocument/2006/relationships/hyperlink" Id="rId52" Target="http://doi.org/10.1038/srep12427" TargetMode="External" /><Relationship Type="http://schemas.openxmlformats.org/officeDocument/2006/relationships/hyperlink" Id="rId65" Target="http://doi.org/https://doi.org/10.1016/j.enbuild.2014.07.034" TargetMode="External" /><Relationship Type="http://schemas.openxmlformats.org/officeDocument/2006/relationships/hyperlink" Id="rId48" Target="http://doi.org/https://doi.org/10.1016/j.enpol.2008.09.051" TargetMode="External" /><Relationship Type="http://schemas.openxmlformats.org/officeDocument/2006/relationships/hyperlink" Id="rId63" Target="http://doi.org/https://doi.org/10.1016/j.gloenvcha.2016.05.009" TargetMode="External" /><Relationship Type="http://schemas.openxmlformats.org/officeDocument/2006/relationships/hyperlink" Id="rId58" Target="http://doi.org/https://doi.org/10.1016/j.gloenvcha.2016.06.004" TargetMode="External" /><Relationship Type="http://schemas.openxmlformats.org/officeDocument/2006/relationships/hyperlink" Id="rId54" Target="http://jgcri.github.io/gcam-doc/toc.html" TargetMode="External" /><Relationship Type="http://schemas.openxmlformats.org/officeDocument/2006/relationships/hyperlink" Id="rId24" Target="http://www.globalchange.umd.edu/models/gcam" TargetMode="External" /><Relationship Type="http://schemas.openxmlformats.org/officeDocument/2006/relationships/hyperlink" Id="rId55" Target="https://doi.org/10.2172%2F1034232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62" Target="http://doi.org/10.1002/(sici)1521-3773(19980918)37:17&lt;2296::aid-anie2296&gt;3.0.co;2-w" TargetMode="External" /><Relationship Type="http://schemas.openxmlformats.org/officeDocument/2006/relationships/hyperlink" Id="rId60" Target="http://doi.org/10.1007/s10584-013-0772-x" TargetMode="External" /><Relationship Type="http://schemas.openxmlformats.org/officeDocument/2006/relationships/hyperlink" Id="rId51" Target="http://doi.org/10.1007/s10584-017-2002-4" TargetMode="External" /><Relationship Type="http://schemas.openxmlformats.org/officeDocument/2006/relationships/hyperlink" Id="rId53" Target="http://doi.org/10.1007/s11027-013-9522-7" TargetMode="External" /><Relationship Type="http://schemas.openxmlformats.org/officeDocument/2006/relationships/hyperlink" Id="rId49" Target="http://doi.org/10.1016/j.eneco.2014.04.017" TargetMode="External" /><Relationship Type="http://schemas.openxmlformats.org/officeDocument/2006/relationships/hyperlink" Id="rId47" Target="http://doi.org/10.1016/j.energy.2012.03.044" TargetMode="External" /><Relationship Type="http://schemas.openxmlformats.org/officeDocument/2006/relationships/hyperlink" Id="rId50" Target="http://doi.org/10.1016/j.energy.2013.12.072" TargetMode="External" /><Relationship Type="http://schemas.openxmlformats.org/officeDocument/2006/relationships/hyperlink" Id="rId64" Target="http://doi.org/10.1016/j.enpol.2008.09.051" TargetMode="External" /><Relationship Type="http://schemas.openxmlformats.org/officeDocument/2006/relationships/hyperlink" Id="rId57" Target="http://doi.org/10.1016/j.gloenvcha.2016.05.008" TargetMode="External" /><Relationship Type="http://schemas.openxmlformats.org/officeDocument/2006/relationships/hyperlink" Id="rId56" Target="http://doi.org/10.1016/j.gloenvcha.2016.05.009" TargetMode="External" /><Relationship Type="http://schemas.openxmlformats.org/officeDocument/2006/relationships/hyperlink" Id="rId59" Target="http://doi.org/10.1016/j.gloenvcha.2016.05.015" TargetMode="External" /><Relationship Type="http://schemas.openxmlformats.org/officeDocument/2006/relationships/hyperlink" Id="rId61" Target="http://doi.org/10.1021/bi00414a027" TargetMode="External" /><Relationship Type="http://schemas.openxmlformats.org/officeDocument/2006/relationships/hyperlink" Id="rId52" Target="http://doi.org/10.1038/srep12427" TargetMode="External" /><Relationship Type="http://schemas.openxmlformats.org/officeDocument/2006/relationships/hyperlink" Id="rId65" Target="http://doi.org/https://doi.org/10.1016/j.enbuild.2014.07.034" TargetMode="External" /><Relationship Type="http://schemas.openxmlformats.org/officeDocument/2006/relationships/hyperlink" Id="rId48" Target="http://doi.org/https://doi.org/10.1016/j.enpol.2008.09.051" TargetMode="External" /><Relationship Type="http://schemas.openxmlformats.org/officeDocument/2006/relationships/hyperlink" Id="rId63" Target="http://doi.org/https://doi.org/10.1016/j.gloenvcha.2016.05.009" TargetMode="External" /><Relationship Type="http://schemas.openxmlformats.org/officeDocument/2006/relationships/hyperlink" Id="rId58" Target="http://doi.org/https://doi.org/10.1016/j.gloenvcha.2016.06.004" TargetMode="External" /><Relationship Type="http://schemas.openxmlformats.org/officeDocument/2006/relationships/hyperlink" Id="rId54" Target="http://jgcri.github.io/gcam-doc/toc.html" TargetMode="External" /><Relationship Type="http://schemas.openxmlformats.org/officeDocument/2006/relationships/hyperlink" Id="rId24" Target="http://www.globalchange.umd.edu/models/gcam" TargetMode="External" /><Relationship Type="http://schemas.openxmlformats.org/officeDocument/2006/relationships/hyperlink" Id="rId55" Target="https://doi.org/10.2172%2F1034232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Human-earth system feedbacks in HDD/CDD       </dc:title>
  <dc:creator>Corinne Hartin; Robert Link; Pralit Patel; Russell Horowitz</dc:creator>
  <dcterms:created xsi:type="dcterms:W3CDTF">2018-01-12T19:01:33Z</dcterms:created>
  <dcterms:modified xsi:type="dcterms:W3CDTF">2018-01-12T19:01:33Z</dcterms:modified>
</cp:coreProperties>
</file>