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Moving</w:t>
      </w:r>
      <w:r>
        <w:t xml:space="preserve"> </w:t>
      </w:r>
      <w:r>
        <w:t xml:space="preserve">out</w:t>
      </w:r>
      <w:r>
        <w:t xml:space="preserve"> </w:t>
      </w:r>
      <w:r>
        <w:t xml:space="preserve">during</w:t>
      </w:r>
      <w:r>
        <w:t xml:space="preserve"> </w:t>
      </w:r>
      <w:r>
        <w:t xml:space="preserve">College</w:t>
      </w:r>
    </w:p>
    <w:p>
      <w:pPr>
        <w:pStyle w:val="Author"/>
      </w:pPr>
      <w:r>
        <w:t xml:space="preserve">Sebastian</w:t>
      </w:r>
      <w:r>
        <w:t xml:space="preserve"> </w:t>
      </w:r>
      <w:r>
        <w:t xml:space="preserve">Becker</w:t>
      </w:r>
    </w:p>
    <w:p>
      <w:pPr>
        <w:pStyle w:val="Author"/>
      </w:pPr>
      <w:r>
        <w:t xml:space="preserve">Max</w:t>
      </w:r>
      <w:r>
        <w:t xml:space="preserve"> </w:t>
      </w:r>
      <w:r>
        <w:t xml:space="preserve">Blesch</w:t>
      </w:r>
    </w:p>
    <w:p>
      <w:pPr>
        <w:pStyle w:val="FirstParagraph"/>
      </w:pPr>
      <w:r>
        <w:t xml:space="preserve">Es war einmal vor langer langer Zeit in einer weit entfernten</w:t>
      </w:r>
      <w:r>
        <w:t xml:space="preserve"> </w:t>
      </w:r>
      <w:r>
        <w:t xml:space="preserve">Galaxie……..zwei einsam Jedie von der Neugier getrieben und</w:t>
      </w:r>
      <w:r>
        <w:t xml:space="preserve"> </w:t>
      </w:r>
      <w:r>
        <w:t xml:space="preserve">ausgestattet mit SOEP Dataset erforschten sie die unergründlichen Weiten</w:t>
      </w:r>
      <w:r>
        <w:t xml:space="preserve"> </w:t>
      </w:r>
      <w:r>
        <w:t xml:space="preserve">des menschlichen Verhaltensweisen. In dem Dschungel der Daten finden sie</w:t>
      </w:r>
      <w:r>
        <w:t xml:space="preserve"> </w:t>
      </w:r>
      <w:r>
        <w:t xml:space="preserve">auf einmal eine Höhle über der</w:t>
      </w:r>
      <w:r>
        <w:t xml:space="preserve"> </w:t>
      </w:r>
      <w:r>
        <w:t xml:space="preserve">“</w:t>
      </w:r>
      <w:r>
        <w:t xml:space="preserve"> </w:t>
      </w:r>
      <w:r>
        <w:t xml:space="preserve">Moving out in College</w:t>
      </w:r>
      <w:r>
        <w:t xml:space="preserve">”</w:t>
      </w:r>
      <w:r>
        <w:t xml:space="preserve"> </w:t>
      </w:r>
      <w:r>
        <w:t xml:space="preserve">steht. Ein</w:t>
      </w:r>
      <w:r>
        <w:t xml:space="preserve"> </w:t>
      </w:r>
      <w:r>
        <w:t xml:space="preserve">zögern, ein unsicher ausgetauschter Blick und schon marschieren die</w:t>
      </w:r>
      <w:r>
        <w:t xml:space="preserve"> </w:t>
      </w:r>
      <w:r>
        <w:t xml:space="preserve">beiden mit gezückten Lichschwertern(laptops) in da</w:t>
      </w:r>
    </w:p>
    <w:p>
      <w:pPr>
        <w:pStyle w:val="BodyText"/>
      </w:pPr>
      <w:r>
        <w:br w:type="textWrapping"/>
      </w:r>
    </w:p>
    <w:p>
      <w:pPr>
        <w:pStyle w:val="Heading1"/>
      </w:pPr>
      <w:bookmarkStart w:id="21" w:name="introduction"/>
      <w:bookmarkEnd w:id="21"/>
      <w:r>
        <w:t xml:space="preserve">Introduction</w:t>
      </w:r>
    </w:p>
    <w:p>
      <w:pPr>
        <w:pStyle w:val="FirstParagraph"/>
      </w:pPr>
      <w:r>
        <w:rPr>
          <w:i/>
        </w:rPr>
        <w:t xml:space="preserve">‘</w:t>
      </w:r>
      <w:r>
        <w:rPr>
          <w:i/>
        </w:rPr>
        <w:t xml:space="preserve">Both the destination and the timing of young people’s</w:t>
      </w:r>
      <w:r>
        <w:rPr>
          <w:i/>
        </w:rPr>
        <w:t xml:space="preserve"> </w:t>
      </w:r>
      <w:r>
        <w:rPr>
          <w:i/>
        </w:rPr>
        <w:t xml:space="preserve">home-leaving are …. crucial in determining later life</w:t>
      </w:r>
      <w:r>
        <w:rPr>
          <w:i/>
        </w:rPr>
        <w:t xml:space="preserve"> </w:t>
      </w:r>
      <w:r>
        <w:rPr>
          <w:i/>
        </w:rPr>
        <w:t xml:space="preserve">opportunities.</w:t>
      </w:r>
      <w:r>
        <w:rPr>
          <w:i/>
        </w:rPr>
        <w:t xml:space="preserve">’</w:t>
      </w:r>
      <w:r>
        <w:rPr>
          <w:i/>
        </w:rPr>
        <w:t xml:space="preserve"> (Buck &amp; Scott, 1993)</w:t>
      </w:r>
      <w:r>
        <w:t xml:space="preserve"> </w:t>
      </w:r>
    </w:p>
    <w:p>
      <w:pPr>
        <w:pStyle w:val="BodyText"/>
      </w:pPr>
      <w:r>
        <w:t xml:space="preserve">Higher education defines the reason and therefore determines the</w:t>
      </w:r>
      <w:r>
        <w:t xml:space="preserve"> </w:t>
      </w:r>
      <w:r>
        <w:t xml:space="preserve">destination for many young people leaving home. On the other hand the</w:t>
      </w:r>
      <w:r>
        <w:t xml:space="preserve"> </w:t>
      </w:r>
      <w:r>
        <w:t xml:space="preserve">number of study courses in Germany increased in the last 10 years by</w:t>
      </w:r>
      <w:r>
        <w:t xml:space="preserve"> </w:t>
      </w:r>
      <w:r>
        <w:t xml:space="preserve">69% (HRK, 2017) and the dispersion of universities across all German</w:t>
      </w:r>
      <w:r>
        <w:t xml:space="preserve"> </w:t>
      </w:r>
      <w:r>
        <w:t xml:space="preserve">cites gives young people the choice to either stay home or move out to</w:t>
      </w:r>
      <w:r>
        <w:t xml:space="preserve"> </w:t>
      </w:r>
      <w:r>
        <w:t xml:space="preserve">achieve tertiary education. In section 2 we will review several papers,</w:t>
      </w:r>
      <w:r>
        <w:t xml:space="preserve"> </w:t>
      </w:r>
      <w:r>
        <w:t xml:space="preserve">which try to identify the timing of leaving by comparing institutions</w:t>
      </w:r>
      <w:r>
        <w:t xml:space="preserve"> </w:t>
      </w:r>
      <w:r>
        <w:t xml:space="preserve">and social environment across countries. Germany has a rich social</w:t>
      </w:r>
      <w:r>
        <w:t xml:space="preserve"> </w:t>
      </w:r>
      <w:r>
        <w:t xml:space="preserve">welfare system, which tries to provide same possibilities for young</w:t>
      </w:r>
      <w:r>
        <w:t xml:space="preserve"> </w:t>
      </w:r>
      <w:r>
        <w:t xml:space="preserve">people independent of their social background. We assume there have to</w:t>
      </w:r>
      <w:r>
        <w:t xml:space="preserve"> </w:t>
      </w:r>
      <w:r>
        <w:t xml:space="preserve">be other driving factors beyond structural and social environment.</w:t>
      </w:r>
      <w:r>
        <w:t xml:space="preserve"> </w:t>
      </w:r>
      <w:r>
        <w:t xml:space="preserve">Furthermore we hope to prove that these factors not only determine</w:t>
      </w:r>
      <w:r>
        <w:t xml:space="preserve"> </w:t>
      </w:r>
      <w:r>
        <w:t xml:space="preserve">decision process, they are also part of the individual’s human capital,</w:t>
      </w:r>
      <w:r>
        <w:t xml:space="preserve"> </w:t>
      </w:r>
      <w:r>
        <w:t xml:space="preserve">which has impact on their labor outcome, e.g. wage.  Also the action of</w:t>
      </w:r>
      <w:r>
        <w:t xml:space="preserve"> </w:t>
      </w:r>
      <w:r>
        <w:t xml:space="preserve">leaving could be seen as a facet of human capital itself, because it</w:t>
      </w:r>
      <w:r>
        <w:t xml:space="preserve"> </w:t>
      </w:r>
      <w:r>
        <w:t xml:space="preserve">should widen the individual’s social network and therefore endows her</w:t>
      </w:r>
      <w:r>
        <w:t xml:space="preserve"> </w:t>
      </w:r>
      <w:r>
        <w:t xml:space="preserve">with another advantage comparing to the stay home alternative. The</w:t>
      </w:r>
      <w:r>
        <w:t xml:space="preserve"> </w:t>
      </w:r>
      <w:r>
        <w:t xml:space="preserve">German Socioeconomic Panel gives us the chance not only to control for</w:t>
      </w:r>
      <w:r>
        <w:t xml:space="preserve"> </w:t>
      </w:r>
      <w:r>
        <w:t xml:space="preserve">social heterogeneities,  but also identify varieties in personality</w:t>
      </w:r>
      <w:r>
        <w:t xml:space="preserve"> </w:t>
      </w:r>
      <w:r>
        <w:t xml:space="preserve">across the observed individuals. If we could access more detailed</w:t>
      </w:r>
      <w:r>
        <w:t xml:space="preserve"> </w:t>
      </w:r>
      <w:r>
        <w:t xml:space="preserve">information on the households location, which was not possible due to</w:t>
      </w:r>
      <w:r>
        <w:t xml:space="preserve"> </w:t>
      </w:r>
      <w:r>
        <w:t xml:space="preserve">the short time of conducting the research, we could also identify the</w:t>
      </w:r>
      <w:r>
        <w:t xml:space="preserve"> </w:t>
      </w:r>
      <w:r>
        <w:t xml:space="preserve">variety on the dimension of the social structural break each leaving</w:t>
      </w:r>
      <w:r>
        <w:t xml:space="preserve"> </w:t>
      </w:r>
      <w:r>
        <w:t xml:space="preserve">individual faces. This leaves us with the following reduced form of a</w:t>
      </w:r>
      <w:r>
        <w:t xml:space="preserve"> </w:t>
      </w:r>
      <w:r>
        <w:t xml:space="preserve">possible research structure on this question: Starting with a review of</w:t>
      </w:r>
      <w:r>
        <w:t xml:space="preserve"> </w:t>
      </w:r>
      <w:r>
        <w:t xml:space="preserve">the related literature in section 2,  we continue by introducing a basic</w:t>
      </w:r>
      <w:r>
        <w:t xml:space="preserve"> </w:t>
      </w:r>
      <w:r>
        <w:t xml:space="preserve">Roy framework(ROY, 1951) for the decision process, section 4 lays</w:t>
      </w:r>
      <w:r>
        <w:t xml:space="preserve"> </w:t>
      </w:r>
      <w:r>
        <w:t xml:space="preserve">out our estimation strategy, section 5 will describe our results and in</w:t>
      </w:r>
      <w:r>
        <w:t xml:space="preserve"> </w:t>
      </w:r>
      <w:r>
        <w:t xml:space="preserve">the last section we gonna conclude and draw further research</w:t>
      </w:r>
      <w:r>
        <w:t xml:space="preserve"> </w:t>
      </w:r>
      <w:r>
        <w:t xml:space="preserve">possibilities. </w:t>
      </w:r>
    </w:p>
    <w:p>
      <w:pPr>
        <w:pStyle w:val="BodyText"/>
      </w:pPr>
      <w:r>
        <w:br w:type="textWrapping"/>
      </w:r>
    </w:p>
    <w:p>
      <w:pPr>
        <w:pStyle w:val="Heading1"/>
      </w:pPr>
      <w:bookmarkStart w:id="22" w:name="literature-review"/>
      <w:bookmarkEnd w:id="22"/>
      <w:r>
        <w:t xml:space="preserve">Literature Review</w:t>
      </w:r>
    </w:p>
    <w:p>
      <w:pPr>
        <w:pStyle w:val="FirstParagraph"/>
      </w:pPr>
      <w:r>
        <w:t xml:space="preserve">The relevant literature concentrates in principal on varieties in</w:t>
      </w:r>
      <w:r>
        <w:t xml:space="preserve"> </w:t>
      </w:r>
      <w:r>
        <w:t xml:space="preserve">social, institutional and cultural varieties across countries. This</w:t>
      </w:r>
      <w:r>
        <w:t xml:space="preserve"> </w:t>
      </w:r>
      <w:r>
        <w:t xml:space="preserve">field of literature was initiated by (Kiernan, 1986), comparing the</w:t>
      </w:r>
      <w:r>
        <w:t xml:space="preserve"> </w:t>
      </w:r>
      <w:r>
        <w:t xml:space="preserve">age of moving out and the form of residence of young people in six</w:t>
      </w:r>
      <w:r>
        <w:t xml:space="preserve"> </w:t>
      </w:r>
      <w:r>
        <w:t xml:space="preserve">European countries. She finds that young people in Denmark are the first</w:t>
      </w:r>
      <w:r>
        <w:t xml:space="preserve"> </w:t>
      </w:r>
      <w:r>
        <w:t xml:space="preserve">ones to leave, followed by West Germany, France, the Netherlands,</w:t>
      </w:r>
      <w:r>
        <w:t xml:space="preserve"> </w:t>
      </w:r>
      <w:r>
        <w:t xml:space="preserve">Ireland and the UK. Women leaving earlier than men appears across all of</w:t>
      </w:r>
      <w:r>
        <w:t xml:space="preserve"> </w:t>
      </w:r>
      <w:r>
        <w:t xml:space="preserve">these six. </w:t>
      </w:r>
    </w:p>
    <w:p>
      <w:pPr>
        <w:pStyle w:val="BodyText"/>
      </w:pPr>
      <w:r>
        <w:t xml:space="preserve">Several papers proof a systematic difference between geographical</w:t>
      </w:r>
      <w:r>
        <w:t xml:space="preserve"> </w:t>
      </w:r>
      <w:r>
        <w:t xml:space="preserve">regions in Europe. (Holdsworth, 2000) compares Britain and Spain and</w:t>
      </w:r>
      <w:r>
        <w:t xml:space="preserve"> </w:t>
      </w:r>
      <w:r>
        <w:t xml:space="preserve">indicates the patterns (Billari, Philipov, &amp; Baiz</w:t>
      </w:r>
      <w:r>
        <w:t xml:space="preserve">á</w:t>
      </w:r>
      <w:r>
        <w:t xml:space="preserve">n, 2001) finds looking at cohorts born</w:t>
      </w:r>
      <w:r>
        <w:t xml:space="preserve"> </w:t>
      </w:r>
      <w:r>
        <w:t xml:space="preserve">around 1960 in whole Europe. He states an increase of the leaving age</w:t>
      </w:r>
      <w:r>
        <w:t xml:space="preserve"> </w:t>
      </w:r>
      <w:r>
        <w:t xml:space="preserve">north to south. While the eastern European countries match the tendency</w:t>
      </w:r>
      <w:r>
        <w:t xml:space="preserve"> </w:t>
      </w:r>
      <w:r>
        <w:t xml:space="preserve">of the southern European countries. The median for leaving parental home</w:t>
      </w:r>
      <w:r>
        <w:t xml:space="preserve"> </w:t>
      </w:r>
      <w:r>
        <w:t xml:space="preserve">in Nordic countries is around 20 for southern and eastern European</w:t>
      </w:r>
      <w:r>
        <w:t xml:space="preserve"> </w:t>
      </w:r>
      <w:r>
        <w:t xml:space="preserve">countries around 27. Germany ranks in this data just behind the Nordic</w:t>
      </w:r>
      <w:r>
        <w:t xml:space="preserve"> </w:t>
      </w:r>
      <w:r>
        <w:t xml:space="preserve">countries and on the same stage as France with a median around 22.</w:t>
      </w:r>
      <w:r>
        <w:t xml:space="preserve"> </w:t>
      </w:r>
      <w:r>
        <w:t xml:space="preserve">Across all countries he finds that women leave earlier than men. The</w:t>
      </w:r>
      <w:r>
        <w:t xml:space="preserve"> </w:t>
      </w:r>
      <w:r>
        <w:t xml:space="preserve">reason young people leave home also differs systematically. While in</w:t>
      </w:r>
      <w:r>
        <w:t xml:space="preserve"> </w:t>
      </w:r>
      <w:r>
        <w:t xml:space="preserve">southern countries children leave their parent’s home in a high share</w:t>
      </w:r>
      <w:r>
        <w:t xml:space="preserve"> </w:t>
      </w:r>
      <w:r>
        <w:t xml:space="preserve">for forming a union with their partner and not before finishing</w:t>
      </w:r>
      <w:r>
        <w:t xml:space="preserve"> </w:t>
      </w:r>
      <w:r>
        <w:t xml:space="preserve">education. In the Nordic countries and central European it is vice</w:t>
      </w:r>
      <w:r>
        <w:t xml:space="preserve"> </w:t>
      </w:r>
      <w:r>
        <w:t xml:space="preserve">versa.</w:t>
      </w:r>
    </w:p>
    <w:p>
      <w:pPr>
        <w:pStyle w:val="BodyText"/>
      </w:pPr>
      <w:r>
        <w:t xml:space="preserve">(Aassve, Billari, Mazzuco, &amp; Ongaro, 2002)show the same systematic difference by comparing ECHP</w:t>
      </w:r>
      <w:r>
        <w:t xml:space="preserve"> </w:t>
      </w:r>
      <w:r>
        <w:t xml:space="preserve">data. They try to lead this pattern back to the difference in culture</w:t>
      </w:r>
      <w:r>
        <w:t xml:space="preserve"> </w:t>
      </w:r>
      <w:r>
        <w:t xml:space="preserve">but also on the difference in welfare policies.  They divide Europeo in</w:t>
      </w:r>
      <w:r>
        <w:t xml:space="preserve"> </w:t>
      </w:r>
      <w:r>
        <w:t xml:space="preserve">three different welfare regimes:</w:t>
      </w:r>
    </w:p>
    <w:p>
      <w:pPr>
        <w:pStyle w:val="BodyText"/>
      </w:pPr>
      <w:r>
        <w:t xml:space="preserve">Southern European Welfare Regime with low level of support for young</w:t>
      </w:r>
      <w:r>
        <w:t xml:space="preserve"> </w:t>
      </w:r>
      <w:r>
        <w:t xml:space="preserve">people. Conservative Continental welfare regimes, which are France and</w:t>
      </w:r>
      <w:r>
        <w:t xml:space="preserve"> </w:t>
      </w:r>
      <w:r>
        <w:t xml:space="preserve">Germany. The third class is defined as Liberal and Social Democratic</w:t>
      </w:r>
      <w:r>
        <w:t xml:space="preserve"> </w:t>
      </w:r>
      <w:r>
        <w:t xml:space="preserve">Welfare Regimes, which include the Nordic Countries and the UK. For the</w:t>
      </w:r>
      <w:r>
        <w:t xml:space="preserve"> </w:t>
      </w:r>
      <w:r>
        <w:t xml:space="preserve">Conservative, Liberal and Social Democratic welfare regime, they can’t</w:t>
      </w:r>
      <w:r>
        <w:t xml:space="preserve"> </w:t>
      </w:r>
      <w:r>
        <w:t xml:space="preserve">proof a significant pattern for family or individual income. While in</w:t>
      </w:r>
      <w:r>
        <w:t xml:space="preserve"> </w:t>
      </w:r>
      <w:r>
        <w:t xml:space="preserve">southern European countries the individual income is highly significant</w:t>
      </w:r>
      <w:r>
        <w:t xml:space="preserve"> </w:t>
      </w:r>
      <w:r>
        <w:t xml:space="preserve">for men and family income for woman.</w:t>
      </w:r>
      <w:r>
        <w:t xml:space="preserve"> </w:t>
      </w:r>
      <w:r>
        <w:rPr>
          <w:i/>
        </w:rPr>
        <w:t xml:space="preserve">In anothery</w:t>
      </w:r>
      <w:r>
        <w:rPr>
          <w:i/>
        </w:rPr>
        <w:t xml:space="preserve"> </w:t>
      </w:r>
      <w:r>
        <w:rPr>
          <w:i/>
        </w:rPr>
        <w:t xml:space="preserve">paper </w:t>
      </w:r>
      <w:r>
        <w:t xml:space="preserve">(Aassve, Burgess, Chesher, &amp; Propper, 2002)</w:t>
      </w:r>
      <w:r>
        <w:rPr>
          <w:i/>
        </w:rPr>
        <w:t xml:space="preserve">study US data and find the same reasons</w:t>
      </w:r>
      <w:r>
        <w:rPr>
          <w:i/>
        </w:rPr>
        <w:t xml:space="preserve"> </w:t>
      </w:r>
      <w:r>
        <w:rPr>
          <w:i/>
        </w:rPr>
        <w:t xml:space="preserve">for leaving as in southern European countries. Therefore they design a</w:t>
      </w:r>
      <w:r>
        <w:rPr>
          <w:i/>
        </w:rPr>
        <w:t xml:space="preserve"> </w:t>
      </w:r>
      <w:r>
        <w:rPr>
          <w:i/>
        </w:rPr>
        <w:t xml:space="preserve">model, similar to the one of job search, to determine the decision of</w:t>
      </w:r>
      <w:r>
        <w:rPr>
          <w:i/>
        </w:rPr>
        <w:t xml:space="preserve"> </w:t>
      </w:r>
      <w:r>
        <w:rPr>
          <w:i/>
        </w:rPr>
        <w:t xml:space="preserve">moving out as the successful match on the marriage market. They argue</w:t>
      </w:r>
      <w:r>
        <w:rPr>
          <w:i/>
        </w:rPr>
        <w:t xml:space="preserve"> </w:t>
      </w:r>
      <w:r>
        <w:rPr>
          <w:i/>
        </w:rPr>
        <w:t xml:space="preserve">that the income channels through the </w:t>
      </w:r>
      <w:r>
        <w:rPr>
          <w:i/>
        </w:rPr>
        <w:t xml:space="preserve">“</w:t>
      </w:r>
      <w:r>
        <w:rPr>
          <w:i/>
        </w:rPr>
        <w:t xml:space="preserve">good catch effect</w:t>
      </w:r>
      <w:r>
        <w:rPr>
          <w:i/>
        </w:rPr>
        <w:t xml:space="preserve">”</w:t>
      </w:r>
      <w:r>
        <w:rPr>
          <w:i/>
        </w:rPr>
        <w:t xml:space="preserve">(high income</w:t>
      </w:r>
      <w:r>
        <w:rPr>
          <w:i/>
        </w:rPr>
        <w:t xml:space="preserve"> </w:t>
      </w:r>
      <w:r>
        <w:rPr>
          <w:i/>
        </w:rPr>
        <w:t xml:space="preserve">individuals get more marriage offers) on the probability to move out</w:t>
      </w:r>
      <w:r>
        <w:rPr>
          <w:i/>
        </w:rPr>
        <w:t xml:space="preserve"> </w:t>
      </w:r>
      <w:r>
        <w:rPr>
          <w:i/>
        </w:rPr>
        <w:t xml:space="preserve">earlier.</w:t>
      </w:r>
    </w:p>
    <w:p>
      <w:pPr>
        <w:pStyle w:val="BodyText"/>
      </w:pPr>
      <w:r>
        <w:t xml:space="preserve">(Laferr</w:t>
      </w:r>
      <w:r>
        <w:t xml:space="preserve">è</w:t>
      </w:r>
      <w:r>
        <w:t xml:space="preserve">re &amp; Blanc, 2004) look at the rental assistance reform in France in</w:t>
      </w:r>
      <w:r>
        <w:t xml:space="preserve"> </w:t>
      </w:r>
      <w:r>
        <w:t xml:space="preserve">1992. The reform included an extension of the assistance from only</w:t>
      </w:r>
      <w:r>
        <w:t xml:space="preserve"> </w:t>
      </w:r>
      <w:r>
        <w:t xml:space="preserve">families with children to all low income households, e.g. students. The</w:t>
      </w:r>
      <w:r>
        <w:t xml:space="preserve"> </w:t>
      </w:r>
      <w:r>
        <w:t xml:space="preserve">number of households  in 1992-1996 rose, compared to same period before</w:t>
      </w:r>
      <w:r>
        <w:t xml:space="preserve"> </w:t>
      </w:r>
      <w:r>
        <w:t xml:space="preserve">the reform, by 3%.  Out of the new formed households the share of</w:t>
      </w:r>
      <w:r>
        <w:t xml:space="preserve"> </w:t>
      </w:r>
      <w:r>
        <w:t xml:space="preserve">households formed by students grew from 15% in the preceding 4 years to</w:t>
      </w:r>
      <w:r>
        <w:t xml:space="preserve"> </w:t>
      </w:r>
      <w:r>
        <w:t xml:space="preserve">19% in the following years. In (Laferrere, 2004) he argues that this</w:t>
      </w:r>
      <w:r>
        <w:t xml:space="preserve"> </w:t>
      </w:r>
      <w:r>
        <w:t xml:space="preserve">rise has to be interpret with caution, as student numbers increased in</w:t>
      </w:r>
      <w:r>
        <w:t xml:space="preserve"> </w:t>
      </w:r>
      <w:r>
        <w:t xml:space="preserve">the same years due to the increase in young people finishing the High</w:t>
      </w:r>
      <w:r>
        <w:t xml:space="preserve"> </w:t>
      </w:r>
      <w:r>
        <w:t xml:space="preserve">School.</w:t>
      </w:r>
    </w:p>
    <w:p>
      <w:pPr>
        <w:pStyle w:val="BodyText"/>
      </w:pPr>
      <w:r>
        <w:t xml:space="preserve"> </w:t>
      </w:r>
    </w:p>
    <w:p>
      <w:pPr>
        <w:pStyle w:val="BodyText"/>
      </w:pPr>
      <w:r>
        <w:t xml:space="preserve"> </w:t>
      </w:r>
    </w:p>
    <w:p>
      <w:pPr>
        <w:pStyle w:val="Heading1"/>
      </w:pPr>
      <w:bookmarkStart w:id="23" w:name="theoretical-framework"/>
      <w:bookmarkEnd w:id="23"/>
      <w:r>
        <w:t xml:space="preserve">Theoretical Framework</w:t>
      </w:r>
    </w:p>
    <w:p>
      <w:pPr>
        <w:pStyle w:val="FirstParagraph"/>
      </w:pPr>
      <w:r>
        <w:t xml:space="preserve">This chapter deals with the theoretical basis of our analysis,  a simple</w:t>
      </w:r>
      <w:r>
        <w:t xml:space="preserve"> </w:t>
      </w:r>
      <w:r>
        <w:t xml:space="preserve">Roy model setup. Introduced by Roy in 1951 the conceptual framework of</w:t>
      </w:r>
      <w:r>
        <w:t xml:space="preserve"> </w:t>
      </w:r>
      <w:r>
        <w:t xml:space="preserve">the generalized Roy model provides the opportunity to explain self</w:t>
      </w:r>
      <w:r>
        <w:t xml:space="preserve"> </w:t>
      </w:r>
      <w:r>
        <w:t xml:space="preserve">selection behavior by unobserved heterogeneity in the agent’s</w:t>
      </w:r>
      <w:r>
        <w:t xml:space="preserve"> </w:t>
      </w:r>
      <w:r>
        <w:t xml:space="preserve">characteristics  (Roy, 1951) . We will use this approach to</w:t>
      </w:r>
      <w:r>
        <w:t xml:space="preserve"> </w:t>
      </w:r>
      <w:r>
        <w:t xml:space="preserve">illustrate the decision process of individuals to leave their parent’s</w:t>
      </w:r>
      <w:r>
        <w:t xml:space="preserve"> </w:t>
      </w:r>
      <w:r>
        <w:t xml:space="preserve">household during tertiary education.  Note that we will follow the</w:t>
      </w:r>
      <w:r>
        <w:t xml:space="preserve"> </w:t>
      </w:r>
      <w:r>
        <w:t xml:space="preserve">notation in  (Heckman &amp; Vytlacil, 2005).</w:t>
      </w:r>
    </w:p>
    <w:p>
      <w:pPr>
        <w:pStyle w:val="BodyText"/>
      </w:pPr>
      <w:r>
        <w:br w:type="textWrapping"/>
      </w:r>
      <w:r>
        <w:t xml:space="preserve">The model relies on different basic assumptions. Firstly we assume that the agent behaves such that he or she maximizes its utility function.</w:t>
      </w:r>
      <w:r>
        <w:t xml:space="preserve"> </w:t>
      </w:r>
      <w:r>
        <w:t xml:space="preserve">Secondly the wage of an agent i has the following form:</w:t>
      </w:r>
    </w:p>
    <w:p>
      <w:pPr>
        <w:pStyle w:val="BodyText"/>
      </w:pPr>
      <m:oMathPara>
        <m:oMathParaPr>
          <m:jc m:val="center"/>
        </m:oMathParaPr>
        <m:oMath>
          <m:r>
            <m:t>l</m:t>
          </m:r>
          <m:r>
            <m:t>o</m:t>
          </m:r>
          <m:r>
            <m:t>g</m:t>
          </m:r>
          <m:r>
            <m:t>(</m:t>
          </m:r>
          <m:r>
            <m:t>i</m:t>
          </m:r>
          <m:r>
            <m:t>n</m:t>
          </m:r>
          <m:r>
            <m:t>c</m:t>
          </m:r>
          <m:r>
            <m:t>o</m:t>
          </m:r>
          <m:r>
            <m:t>m</m:t>
          </m:r>
          <m:sSub>
            <m:e>
              <m:r>
                <m:t>e</m:t>
              </m:r>
            </m:e>
            <m:sub>
              <m:r>
                <m:t>i</m:t>
              </m:r>
            </m:sub>
          </m:sSub>
          <m:r>
            <m:t>(</m:t>
          </m:r>
          <m:r>
            <m:t>ω</m:t>
          </m:r>
          <m:r>
            <m:t>)</m:t>
          </m:r>
          <m:r>
            <m:t>)</m:t>
          </m:r>
          <m:r>
            <m:t>=</m:t>
          </m:r>
          <m:sSub>
            <m:e>
              <m:r>
                <m:t>μ</m:t>
              </m:r>
            </m:e>
            <m:sub>
              <m:r>
                <m:t>ω</m:t>
              </m:r>
            </m:sub>
          </m:sSub>
          <m:r>
            <m:t>(</m:t>
          </m:r>
          <m:sSub>
            <m:e>
              <m:r>
                <m:t>X</m:t>
              </m:r>
            </m:e>
            <m:sub>
              <m:r>
                <m:t>i</m:t>
              </m:r>
            </m:sub>
          </m:sSub>
          <m:r>
            <m:t>)</m:t>
          </m:r>
          <m:r>
            <m:t>+</m:t>
          </m:r>
          <m:sSub>
            <m:e>
              <m:r>
                <m:t>ε</m:t>
              </m:r>
            </m:e>
            <m:sub>
              <m:r>
                <m:t>i</m:t>
              </m:r>
            </m:sub>
          </m:sSub>
        </m:oMath>
      </m:oMathPara>
    </w:p>
    <w:p>
      <w:pPr>
        <w:pStyle w:val="FirstParagraph"/>
      </w:pPr>
      <w:r>
        <w:t xml:space="preserve">where</w:t>
      </w:r>
      <w:r>
        <w:t xml:space="preserve"> </w:t>
      </w:r>
      <m:oMath>
        <m:sSub>
          <m:e>
            <m:r>
              <m:t>X</m:t>
            </m:r>
          </m:e>
          <m:sub>
            <m:r>
              <m:t>i</m:t>
            </m:r>
          </m:sub>
        </m:sSub>
      </m:oMath>
      <w:r>
        <w:t xml:space="preserve"> </w:t>
      </w:r>
      <w:r>
        <w:t xml:space="preserve">is the agent’s characteristics that influences the income via a the function</w:t>
      </w:r>
      <w:r>
        <w:t xml:space="preserve"> </w:t>
      </w:r>
      <m:oMath>
        <m:sSub>
          <m:e>
            <m:r>
              <m:t>μ</m:t>
            </m:r>
          </m:e>
          <m:sub>
            <m:r>
              <m:t>ω</m:t>
            </m:r>
          </m:sub>
        </m:sSub>
      </m:oMath>
      <w:r>
        <w:t xml:space="preserve">. The function</w:t>
      </w:r>
      <w:r>
        <w:t xml:space="preserve"> </w:t>
      </w:r>
      <m:oMath>
        <m:sSub>
          <m:e>
            <m:r>
              <m:t>μ</m:t>
            </m:r>
          </m:e>
          <m:sub>
            <m:r>
              <m:t>ω</m:t>
            </m:r>
          </m:sub>
        </m:sSub>
      </m:oMath>
      <w:r>
        <w:t xml:space="preserve"> </w:t>
      </w:r>
      <w:r>
        <w:t xml:space="preserve">depends on the decision parameter</w:t>
      </w:r>
      <w:r>
        <w:t xml:space="preserve"> </w:t>
      </w:r>
      <m:oMath>
        <m:r>
          <m:t>ω</m:t>
        </m:r>
        <m:r>
          <m:t>∈</m:t>
        </m:r>
        <m:r>
          <m:t>{</m:t>
        </m:r>
        <m:r>
          <m:t>0</m:t>
        </m:r>
        <m:r>
          <m:t>,</m:t>
        </m:r>
        <m:r>
          <m:t>1</m:t>
        </m:r>
        <m:r>
          <m:t>}</m:t>
        </m:r>
      </m:oMath>
      <w:r>
        <w:t xml:space="preserve"> </w:t>
      </w:r>
      <w:r>
        <w:t xml:space="preserve">that indicates whether the agent has decided to leave the parental household during tertiary education.</w:t>
      </w:r>
      <w:r>
        <w:t xml:space="preserve"> </w:t>
      </w:r>
      <m:oMath>
        <m:sSub>
          <m:e>
            <m:r>
              <m:t>ε</m:t>
            </m:r>
          </m:e>
          <m:sub>
            <m:r>
              <m:t>i</m:t>
            </m:r>
          </m:sub>
        </m:sSub>
      </m:oMath>
      <w:r>
        <w:t xml:space="preserve"> </w:t>
      </w:r>
      <w:r>
        <w:t xml:space="preserve">is the change in wages independent of the agent’s characteristics. The independent changes</w:t>
      </w:r>
      <w:r>
        <w:t xml:space="preserve"> </w:t>
      </w:r>
      <m:oMath>
        <m:sSub>
          <m:e>
            <m:r>
              <m:t>ε</m:t>
            </m:r>
          </m:e>
          <m:sub>
            <m:r>
              <m:t>i</m:t>
            </m:r>
          </m:sub>
        </m:sSub>
      </m:oMath>
      <w:r>
        <w:t xml:space="preserve"> </w:t>
      </w:r>
      <w:r>
        <w:t xml:space="preserve">are assumed to be distributed conditional on the agent’s characteristics</w:t>
      </w:r>
      <w:r>
        <w:t xml:space="preserve"> </w:t>
      </w:r>
      <m:oMath>
        <m:sSub>
          <m:e>
            <m:r>
              <m:t>X</m:t>
            </m:r>
          </m:e>
          <m:sub>
            <m:r>
              <m:t>i</m:t>
            </m:r>
          </m:sub>
        </m:sSub>
      </m:oMath>
      <w:r>
        <w:t xml:space="preserve"> </w:t>
      </w:r>
      <w:r>
        <w:t xml:space="preserve">according to a normal distribution with mean</w:t>
      </w:r>
      <w:r>
        <w:t xml:space="preserve"> </w:t>
      </w:r>
      <m:oMath>
        <m:r>
          <m:t>0</m:t>
        </m:r>
      </m:oMath>
      <w:r>
        <w:t xml:space="preserve"> </w:t>
      </w:r>
      <w:r>
        <w:t xml:space="preserve">and variance</w:t>
      </w:r>
      <w:r>
        <w:t xml:space="preserve"> </w:t>
      </w:r>
      <m:oMath>
        <m:sSub>
          <m:e>
            <m:r>
              <m:t>σ</m:t>
            </m:r>
          </m:e>
          <m:sub>
            <m:r>
              <m:t>ε</m:t>
            </m:r>
          </m:sub>
        </m:sSub>
      </m:oMath>
      <w:r>
        <w:t xml:space="preserve">. Further on it is assumed that the log wage of an individual enters the utility function directly without any additionally transformation.</w:t>
      </w:r>
      <w:r>
        <w:br w:type="textWrapping"/>
      </w:r>
      <w:r>
        <w:t xml:space="preserve">It should be obvious that leaving your parental household during tertiary education is associated with costs. This costs can be of monetary form but could also be difficult to translate in monetary values. Additionally we assume that the costs depend on the characteristics of an individual i. Because of this the cost function is valued in utility terms and denoted as a function</w:t>
      </w:r>
      <w:r>
        <w:t xml:space="preserve"> </w:t>
      </w:r>
      <m:oMath>
        <m:r>
          <m:t>C</m:t>
        </m:r>
        <m:r>
          <m:t>(</m:t>
        </m:r>
        <m:sSub>
          <m:e>
            <m:r>
              <m:t>X</m:t>
            </m:r>
          </m:e>
          <m:sub>
            <m:r>
              <m:t>i</m:t>
            </m:r>
          </m:sub>
        </m:sSub>
        <m:r>
          <m:t>)</m:t>
        </m:r>
      </m:oMath>
      <w:r>
        <w:t xml:space="preserve">. Moreover we will not discuss any functional form of the cost function to keep the framework as simple as possible.</w:t>
      </w:r>
      <w:r>
        <w:br w:type="textWrapping"/>
      </w:r>
      <w:r>
        <w:t xml:space="preserve">Following this argument the agent i has two different utility states dependent on its decision.</w:t>
      </w:r>
    </w:p>
    <w:p>
      <w:pPr>
        <w:pStyle w:val="BodyText"/>
      </w:pPr>
      <m:oMathPara>
        <m:oMathParaPr>
          <m:jc m:val="center"/>
        </m:oMathParaPr>
        <m:oMath>
          <m:m>
            <m:mPr>
              <m:baseJc m:val="center"/>
              <m:plcHide m:val="1"/>
              <m:mcs>
                <m:mc>
                  <m:mcPr>
                    <m:mcJc m:val="right"/>
                    <m:count m:val="1"/>
                  </m:mcPr>
                </m:mc>
                <m:mc>
                  <m:mcPr>
                    <m:mcJc m:val="left"/>
                    <m:count m:val="1"/>
                  </m:mcPr>
                </m:mc>
                <m:mc>
                  <m:mcPr>
                    <m:mcJc m:val="right"/>
                    <m:count m:val="1"/>
                  </m:mcPr>
                </m:mc>
              </m:mcs>
            </m:mPr>
            <m:mr>
              <m:e/>
              <m:e>
                <m:sSub>
                  <m:e>
                    <m:r>
                      <m:t>Y</m:t>
                    </m:r>
                  </m:e>
                  <m:sub>
                    <m:r>
                      <m:t>i</m:t>
                    </m:r>
                    <m:r>
                      <m:t>,</m:t>
                    </m:r>
                    <m:r>
                      <m:t>1</m:t>
                    </m:r>
                  </m:sub>
                </m:sSub>
              </m:e>
              <m:e>
                <m:r>
                  <m:t>=</m:t>
                </m:r>
                <m:r>
                  <m:t>l</m:t>
                </m:r>
                <m:r>
                  <m:t>o</m:t>
                </m:r>
                <m:r>
                  <m:t>g</m:t>
                </m:r>
                <m:r>
                  <m:t>(</m:t>
                </m:r>
                <m:r>
                  <m:t>i</m:t>
                </m:r>
                <m:r>
                  <m:t>n</m:t>
                </m:r>
                <m:r>
                  <m:t>c</m:t>
                </m:r>
                <m:r>
                  <m:t>o</m:t>
                </m:r>
                <m:r>
                  <m:t>m</m:t>
                </m:r>
                <m:sSub>
                  <m:e>
                    <m:r>
                      <m:t>e</m:t>
                    </m:r>
                  </m:e>
                  <m:sub>
                    <m:r>
                      <m:t>i</m:t>
                    </m:r>
                  </m:sub>
                </m:sSub>
                <m:r>
                  <m:t>(</m:t>
                </m:r>
                <m:r>
                  <m:t>1</m:t>
                </m:r>
                <m:r>
                  <m:t>)</m:t>
                </m:r>
                <m:r>
                  <m:t>)</m:t>
                </m:r>
                <m:r>
                  <m:t>+</m:t>
                </m:r>
                <m:sSub>
                  <m:e>
                    <m:r>
                      <m:t>θ</m:t>
                    </m:r>
                  </m:e>
                  <m:sub>
                    <m:r>
                      <m:t>i</m:t>
                    </m:r>
                  </m:sub>
                </m:sSub>
                <m:r>
                  <m:t>−</m:t>
                </m:r>
                <m:r>
                  <m:t>C</m:t>
                </m:r>
                <m:r>
                  <m:t>(</m:t>
                </m:r>
                <m:sSub>
                  <m:e>
                    <m:r>
                      <m:t>X</m:t>
                    </m:r>
                  </m:e>
                  <m:sub>
                    <m:r>
                      <m:t>i</m:t>
                    </m:r>
                  </m:sub>
                </m:sSub>
                <m:r>
                  <m:t>)</m:t>
                </m:r>
              </m:e>
            </m:mr>
            <m:mr>
              <m:e/>
              <m:e/>
              <m:e>
                <m:r>
                  <m:t>=</m:t>
                </m:r>
                <m:sSub>
                  <m:e>
                    <m:r>
                      <m:t>μ</m:t>
                    </m:r>
                  </m:e>
                  <m:sub>
                    <m:r>
                      <m:t>1</m:t>
                    </m:r>
                  </m:sub>
                </m:sSub>
                <m:r>
                  <m:t>(</m:t>
                </m:r>
                <m:sSub>
                  <m:e>
                    <m:r>
                      <m:t>X</m:t>
                    </m:r>
                  </m:e>
                  <m:sub>
                    <m:r>
                      <m:t>i</m:t>
                    </m:r>
                  </m:sub>
                </m:sSub>
                <m:r>
                  <m:t>)</m:t>
                </m:r>
                <m:r>
                  <m:t>+</m:t>
                </m:r>
                <m:sSub>
                  <m:e>
                    <m:r>
                      <m:t>ε</m:t>
                    </m:r>
                  </m:e>
                  <m:sub>
                    <m:r>
                      <m:t>i</m:t>
                    </m:r>
                  </m:sub>
                </m:sSub>
                <m:r>
                  <m:t>+</m:t>
                </m:r>
                <m:sSub>
                  <m:e>
                    <m:r>
                      <m:t>θ</m:t>
                    </m:r>
                  </m:e>
                  <m:sub>
                    <m:r>
                      <m:t>i</m:t>
                    </m:r>
                  </m:sub>
                </m:sSub>
                <m:r>
                  <m:t>−</m:t>
                </m:r>
                <m:r>
                  <m:t>C</m:t>
                </m:r>
                <m:r>
                  <m:t>(</m:t>
                </m:r>
                <m:sSub>
                  <m:e>
                    <m:r>
                      <m:t>X</m:t>
                    </m:r>
                  </m:e>
                  <m:sub>
                    <m:r>
                      <m:t>i</m:t>
                    </m:r>
                  </m:sub>
                </m:sSub>
                <m:r>
                  <m:t>)</m:t>
                </m:r>
              </m:e>
            </m:mr>
            <m:mr>
              <m:e/>
              <m:e>
                <m:sSub>
                  <m:e>
                    <m:r>
                      <m:t>Y</m:t>
                    </m:r>
                  </m:e>
                  <m:sub>
                    <m:r>
                      <m:t>i</m:t>
                    </m:r>
                    <m:r>
                      <m:t>,</m:t>
                    </m:r>
                    <m:r>
                      <m:t>0</m:t>
                    </m:r>
                  </m:sub>
                </m:sSub>
              </m:e>
              <m:e>
                <m:r>
                  <m:t>=</m:t>
                </m:r>
                <m:r>
                  <m:t>l</m:t>
                </m:r>
                <m:r>
                  <m:t>o</m:t>
                </m:r>
                <m:r>
                  <m:t>g</m:t>
                </m:r>
                <m:r>
                  <m:t>(</m:t>
                </m:r>
                <m:r>
                  <m:t>i</m:t>
                </m:r>
                <m:r>
                  <m:t>n</m:t>
                </m:r>
                <m:r>
                  <m:t>c</m:t>
                </m:r>
                <m:r>
                  <m:t>o</m:t>
                </m:r>
                <m:r>
                  <m:t>m</m:t>
                </m:r>
                <m:sSub>
                  <m:e>
                    <m:r>
                      <m:t>e</m:t>
                    </m:r>
                  </m:e>
                  <m:sub>
                    <m:r>
                      <m:t>i</m:t>
                    </m:r>
                  </m:sub>
                </m:sSub>
                <m:r>
                  <m:t>(</m:t>
                </m:r>
                <m:r>
                  <m:t>0</m:t>
                </m:r>
                <m:r>
                  <m:t>)</m:t>
                </m:r>
                <m:r>
                  <m:t>)</m:t>
                </m:r>
              </m:e>
            </m:mr>
            <m:mr>
              <m:e/>
              <m:e/>
              <m:e>
                <m:r>
                  <m:t>=</m:t>
                </m:r>
                <m:sSub>
                  <m:e>
                    <m:r>
                      <m:t>μ</m:t>
                    </m:r>
                  </m:e>
                  <m:sub>
                    <m:r>
                      <m:t>0</m:t>
                    </m:r>
                  </m:sub>
                </m:sSub>
                <m:r>
                  <m:t>(</m:t>
                </m:r>
                <m:sSub>
                  <m:e>
                    <m:r>
                      <m:t>X</m:t>
                    </m:r>
                  </m:e>
                  <m:sub>
                    <m:r>
                      <m:t>i</m:t>
                    </m:r>
                  </m:sub>
                </m:sSub>
                <m:r>
                  <m:t>)</m:t>
                </m:r>
                <m:r>
                  <m:t>+</m:t>
                </m:r>
                <m:sSub>
                  <m:e>
                    <m:r>
                      <m:t>ε</m:t>
                    </m:r>
                  </m:e>
                  <m:sub>
                    <m:r>
                      <m:t>i</m:t>
                    </m:r>
                  </m:sub>
                </m:sSub>
              </m:e>
            </m:mr>
          </m:m>
        </m:oMath>
      </m:oMathPara>
    </w:p>
    <w:p>
      <w:pPr>
        <w:pStyle w:val="FirstParagraph"/>
      </w:pPr>
      <w:r>
        <w:t xml:space="preserve">The indices</w:t>
      </w:r>
      <w:r>
        <w:t xml:space="preserve"> </w:t>
      </w:r>
      <m:oMath>
        <m:r>
          <m:t>0</m:t>
        </m:r>
      </m:oMath>
      <w:r>
        <w:t xml:space="preserve"> </w:t>
      </w:r>
      <w:r>
        <w:t xml:space="preserve">and</w:t>
      </w:r>
      <w:r>
        <w:t xml:space="preserve"> </w:t>
      </w:r>
      <m:oMath>
        <m:r>
          <m:t>1</m:t>
        </m:r>
      </m:oMath>
      <w:r>
        <w:t xml:space="preserve"> </w:t>
      </w:r>
      <w:r>
        <w:t xml:space="preserve">indicate the decision of the agent. The parameter</w:t>
      </w:r>
      <w:r>
        <w:t xml:space="preserve"> </w:t>
      </w:r>
      <m:oMath>
        <m:sSub>
          <m:e>
            <m:r>
              <m:t>θ</m:t>
            </m:r>
          </m:e>
          <m:sub>
            <m:r>
              <m:t>i</m:t>
            </m:r>
          </m:sub>
        </m:sSub>
      </m:oMath>
      <w:r>
        <w:t xml:space="preserve"> </w:t>
      </w:r>
      <w:r>
        <w:t xml:space="preserve">is the agent’s additional non income related utility she obtains for leaving its parental household. It is assumed that</w:t>
      </w:r>
      <w:r>
        <w:t xml:space="preserve"> </w:t>
      </w:r>
      <m:oMath>
        <m:sSub>
          <m:e>
            <m:r>
              <m:t>θ</m:t>
            </m:r>
          </m:e>
          <m:sub>
            <m:r>
              <m:t>i</m:t>
            </m:r>
          </m:sub>
        </m:sSub>
        <m:r>
          <m:t>∣</m:t>
        </m:r>
        <m:sSub>
          <m:e>
            <m:r>
              <m:t>X</m:t>
            </m:r>
          </m:e>
          <m:sub>
            <m:r>
              <m:t>i</m:t>
            </m:r>
          </m:sub>
        </m:sSub>
        <m:r>
          <m:t>∼</m:t>
        </m:r>
        <m:r>
          <m:t>N</m:t>
        </m:r>
        <m:r>
          <m:t>(</m:t>
        </m:r>
        <m:sSub>
          <m:e>
            <m:r>
              <m:t>δ</m:t>
            </m:r>
          </m:e>
          <m:sub>
            <m:r>
              <m:t>θ</m:t>
            </m:r>
          </m:sub>
        </m:sSub>
        <m:r>
          <m:t>,</m:t>
        </m:r>
        <m:sSub>
          <m:e>
            <m:r>
              <m:t>σ</m:t>
            </m:r>
          </m:e>
          <m:sub>
            <m:r>
              <m:t>θ</m:t>
            </m:r>
          </m:sub>
        </m:sSub>
        <m:r>
          <m:t>)</m:t>
        </m:r>
      </m:oMath>
      <w:r>
        <w:t xml:space="preserve"> </w:t>
      </w:r>
      <w:r>
        <w:t xml:space="preserve">with the population mean</w:t>
      </w:r>
      <w:r>
        <w:t xml:space="preserve"> </w:t>
      </w:r>
      <m:oMath>
        <m:sSub>
          <m:e>
            <m:r>
              <m:t>δ</m:t>
            </m:r>
          </m:e>
          <m:sub>
            <m:r>
              <m:t>θ</m:t>
            </m:r>
          </m:sub>
        </m:sSub>
      </m:oMath>
      <w:r>
        <w:t xml:space="preserve"> </w:t>
      </w:r>
      <w:r>
        <w:t xml:space="preserve">and variance</w:t>
      </w:r>
      <w:r>
        <w:t xml:space="preserve"> </w:t>
      </w:r>
      <m:oMath>
        <m:sSub>
          <m:e>
            <m:r>
              <m:t>σ</m:t>
            </m:r>
          </m:e>
          <m:sub>
            <m:r>
              <m:t>θ</m:t>
            </m:r>
          </m:sub>
        </m:sSub>
      </m:oMath>
      <w:r>
        <w:t xml:space="preserve">. Note that</w:t>
      </w:r>
      <w:r>
        <w:t xml:space="preserve"> </w:t>
      </w:r>
      <m:oMath>
        <m:sSub>
          <m:e>
            <m:r>
              <m:t>θ</m:t>
            </m:r>
          </m:e>
          <m:sub>
            <m:r>
              <m:t>i</m:t>
            </m:r>
          </m:sub>
        </m:sSub>
      </m:oMath>
      <w:r>
        <w:t xml:space="preserve"> </w:t>
      </w:r>
      <w:r>
        <w:t xml:space="preserve">reflects the heterogeneity regarding the utility surplus of leaving the parental household within the population. In addition we assume independence of</w:t>
      </w:r>
      <w:r>
        <w:t xml:space="preserve"> </w:t>
      </w:r>
      <m:oMath>
        <m:sSub>
          <m:e>
            <m:r>
              <m:t>θ</m:t>
            </m:r>
          </m:e>
          <m:sub>
            <m:r>
              <m:t>i</m:t>
            </m:r>
          </m:sub>
        </m:sSub>
      </m:oMath>
      <w:r>
        <w:t xml:space="preserve"> </w:t>
      </w:r>
      <w:r>
        <w:t xml:space="preserve">and</w:t>
      </w:r>
      <w:r>
        <w:t xml:space="preserve"> </w:t>
      </w:r>
      <m:oMath>
        <m:sSub>
          <m:e>
            <m:r>
              <m:t>ε</m:t>
            </m:r>
          </m:e>
          <m:sub>
            <m:r>
              <m:t>i</m:t>
            </m:r>
          </m:sub>
        </m:sSub>
      </m:oMath>
      <w:r>
        <w:t xml:space="preserve">.</w:t>
      </w:r>
      <w:r>
        <w:t xml:space="preserve"> </w:t>
      </w:r>
      <w:r>
        <w:t xml:space="preserve">Composing the two states together leads to the utility</w:t>
      </w:r>
      <w:r>
        <w:t xml:space="preserve"> </w:t>
      </w:r>
      <m:oMath>
        <m:sSub>
          <m:e>
            <m:r>
              <m:t>Y</m:t>
            </m:r>
          </m:e>
          <m:sub>
            <m:r>
              <m:t>i</m:t>
            </m:r>
          </m:sub>
        </m:sSub>
        <m:r>
          <m:t>(</m:t>
        </m:r>
        <m:r>
          <m:t>ω</m:t>
        </m:r>
        <m:r>
          <m:t>)</m:t>
        </m:r>
      </m:oMath>
      <w:r>
        <w:t xml:space="preserve"> </w:t>
      </w:r>
      <w:r>
        <w:t xml:space="preserve">of the agent as a function of its decision</w:t>
      </w:r>
      <w:r>
        <w:t xml:space="preserve"> </w:t>
      </w:r>
      <m:oMath>
        <m:r>
          <m:t>ω</m:t>
        </m:r>
      </m:oMath>
      <w:r>
        <w:t xml:space="preserve">.</w:t>
      </w:r>
    </w:p>
    <w:p>
      <w:pPr>
        <w:pStyle w:val="BodyText"/>
      </w:pPr>
      <m:oMathPara>
        <m:oMathParaPr>
          <m:jc m:val="center"/>
        </m:oMathParaPr>
        <m:oMath>
          <m:sSub>
            <m:e>
              <m:r>
                <m:t>Y</m:t>
              </m:r>
            </m:e>
            <m:sub>
              <m:r>
                <m:t>i</m:t>
              </m:r>
            </m:sub>
          </m:sSub>
          <m:r>
            <m:t>(</m:t>
          </m:r>
          <m:r>
            <m:t>ω</m:t>
          </m:r>
          <m:r>
            <m:t>)</m:t>
          </m:r>
          <m:r>
            <m:t>=</m:t>
          </m:r>
          <m:r>
            <m:t>ω</m:t>
          </m:r>
          <m:r>
            <m:t> </m:t>
          </m:r>
          <m:sSub>
            <m:e>
              <m:r>
                <m:t>Y</m:t>
              </m:r>
            </m:e>
            <m:sub>
              <m:r>
                <m:t>i</m:t>
              </m:r>
              <m:r>
                <m:t>,</m:t>
              </m:r>
              <m:r>
                <m:t>1</m:t>
              </m:r>
            </m:sub>
          </m:sSub>
          <m:r>
            <m:t>+</m:t>
          </m:r>
          <m:r>
            <m:t>(</m:t>
          </m:r>
          <m:r>
            <m:t>1</m:t>
          </m:r>
          <m:r>
            <m:t>−</m:t>
          </m:r>
          <m:r>
            <m:t>ω</m:t>
          </m:r>
          <m:r>
            <m:t>)</m:t>
          </m:r>
          <m:r>
            <m:t> </m:t>
          </m:r>
          <m:sSub>
            <m:e>
              <m:r>
                <m:t>Y</m:t>
              </m:r>
            </m:e>
            <m:sub>
              <m:r>
                <m:t>i</m:t>
              </m:r>
              <m:r>
                <m:t>,</m:t>
              </m:r>
              <m:r>
                <m:t>0</m:t>
              </m:r>
            </m:sub>
          </m:sSub>
        </m:oMath>
      </m:oMathPara>
    </w:p>
    <w:p>
      <w:pPr>
        <w:pStyle w:val="FirstParagraph"/>
      </w:pPr>
      <w:r>
        <w:t xml:space="preserve">Next we consider the agent’s decision process. An agent i decides to leave its parental household if its surplus</w:t>
      </w:r>
      <w:r>
        <w:t xml:space="preserve"> </w:t>
      </w:r>
      <m:oMath>
        <m:r>
          <m:t>S</m:t>
        </m:r>
      </m:oMath>
      <w:r>
        <w:t xml:space="preserve"> </w:t>
      </w:r>
      <w:r>
        <w:t xml:space="preserve">by doing so is positive, or in terms of our framework:</w:t>
      </w:r>
    </w:p>
    <w:p>
      <w:pPr>
        <w:pStyle w:val="BodyText"/>
      </w:pPr>
      <m:oMathPara>
        <m:oMathParaPr>
          <m:jc m:val="center"/>
        </m:oMathParaPr>
        <m:oMath>
          <m:m>
            <m:mPr>
              <m:baseJc m:val="center"/>
              <m:plcHide m:val="1"/>
              <m:mcs>
                <m:mc>
                  <m:mcPr>
                    <m:mcJc m:val="right"/>
                    <m:count m:val="1"/>
                  </m:mcPr>
                </m:mc>
                <m:mc>
                  <m:mcPr>
                    <m:mcJc m:val="left"/>
                    <m:count m:val="1"/>
                  </m:mcPr>
                </m:mc>
                <m:mc>
                  <m:mcPr>
                    <m:mcJc m:val="right"/>
                    <m:count m:val="1"/>
                  </m:mcPr>
                </m:mc>
                <m:mc>
                  <m:mcPr>
                    <m:mcJc m:val="left"/>
                    <m:count m:val="1"/>
                  </m:mcPr>
                </m:mc>
              </m:mcs>
            </m:mPr>
            <m:mr>
              <m:e/>
              <m:e>
                <m:sSub>
                  <m:e>
                    <m:r>
                      <m:t>ω</m:t>
                    </m:r>
                  </m:e>
                  <m:sub>
                    <m:r>
                      <m:t>i</m:t>
                    </m:r>
                  </m:sub>
                </m:sSub>
              </m:e>
              <m:e>
                <m:r>
                  <m:t>=</m:t>
                </m:r>
                <m:r>
                  <m:rPr>
                    <m:sty m:val="p"/>
                    <m:scr m:val="double-struck"/>
                  </m:rPr>
                  <m:t>1</m:t>
                </m:r>
                <m:r>
                  <m:t>{</m:t>
                </m:r>
                <m:r>
                  <m:t>S</m:t>
                </m:r>
                <m:r>
                  <m:t>=</m:t>
                </m:r>
                <m:sSub>
                  <m:e>
                    <m:r>
                      <m:t>Y</m:t>
                    </m:r>
                  </m:e>
                  <m:sub>
                    <m:r>
                      <m:t>i</m:t>
                    </m:r>
                    <m:r>
                      <m:t>,</m:t>
                    </m:r>
                    <m:r>
                      <m:t>1</m:t>
                    </m:r>
                  </m:sub>
                </m:sSub>
                <m:r>
                  <m:t>−</m:t>
                </m:r>
                <m:sSub>
                  <m:e>
                    <m:r>
                      <m:t>Y</m:t>
                    </m:r>
                  </m:e>
                  <m:sub>
                    <m:r>
                      <m:t>i</m:t>
                    </m:r>
                    <m:r>
                      <m:t>,</m:t>
                    </m:r>
                    <m:r>
                      <m:t>0</m:t>
                    </m:r>
                  </m:sub>
                </m:sSub>
                <m:r>
                  <m:t>&gt;</m:t>
                </m:r>
                <m:r>
                  <m:t>0</m:t>
                </m:r>
                <m:r>
                  <m:t>}</m:t>
                </m:r>
              </m:e>
              <m:e/>
            </m:mr>
            <m:mr>
              <m:e/>
              <m:e>
                <m:r>
                  <m:t> </m:t>
                </m:r>
                <m:r>
                  <m:t> </m:t>
                </m:r>
              </m:e>
              <m:e>
                <m:r>
                  <m:t>=</m:t>
                </m:r>
                <m:r>
                  <m:rPr>
                    <m:sty m:val="p"/>
                    <m:scr m:val="double-struck"/>
                  </m:rPr>
                  <m:t>1</m:t>
                </m:r>
                <m:r>
                  <m:t>{</m:t>
                </m:r>
                <m:sSub>
                  <m:e>
                    <m:r>
                      <m:t>μ</m:t>
                    </m:r>
                  </m:e>
                  <m:sub>
                    <m:r>
                      <m:t>1</m:t>
                    </m:r>
                  </m:sub>
                </m:sSub>
                <m:r>
                  <m:t>(</m:t>
                </m:r>
                <m:sSub>
                  <m:e>
                    <m:r>
                      <m:t>X</m:t>
                    </m:r>
                  </m:e>
                  <m:sub>
                    <m:r>
                      <m:t>i</m:t>
                    </m:r>
                  </m:sub>
                </m:sSub>
                <m:r>
                  <m:t>)</m:t>
                </m:r>
                <m:r>
                  <m:t>−</m:t>
                </m:r>
                <m:sSub>
                  <m:e>
                    <m:r>
                      <m:t>μ</m:t>
                    </m:r>
                  </m:e>
                  <m:sub>
                    <m:r>
                      <m:t>0</m:t>
                    </m:r>
                  </m:sub>
                </m:sSub>
                <m:r>
                  <m:t>(</m:t>
                </m:r>
                <m:sSub>
                  <m:e>
                    <m:r>
                      <m:t>X</m:t>
                    </m:r>
                  </m:e>
                  <m:sub>
                    <m:r>
                      <m:t>i</m:t>
                    </m:r>
                  </m:sub>
                </m:sSub>
                <m:r>
                  <m:t>)</m:t>
                </m:r>
                <m:r>
                  <m:t>+</m:t>
                </m:r>
                <m:sSub>
                  <m:e>
                    <m:r>
                      <m:t>θ</m:t>
                    </m:r>
                  </m:e>
                  <m:sub>
                    <m:r>
                      <m:t>i</m:t>
                    </m:r>
                  </m:sub>
                </m:sSub>
                <m:r>
                  <m:t>+</m:t>
                </m:r>
                <m:groupChr>
                  <m:groupChrPr>
                    <m:chr m:val="^"/>
                    <m:pos m:val="top"/>
                    <m:vertJc m:val="bot"/>
                  </m:groupChrPr>
                  <m:e>
                    <m:sSub>
                      <m:e>
                        <m:r>
                          <m:t>ε</m:t>
                        </m:r>
                      </m:e>
                      <m:sub>
                        <m:r>
                          <m:t>i</m:t>
                        </m:r>
                      </m:sub>
                    </m:sSub>
                  </m:e>
                </m:groupChr>
                <m:r>
                  <m:t>−</m:t>
                </m:r>
                <m:r>
                  <m:t>C</m:t>
                </m:r>
                <m:r>
                  <m:t>(</m:t>
                </m:r>
                <m:sSub>
                  <m:e>
                    <m:r>
                      <m:t>X</m:t>
                    </m:r>
                  </m:e>
                  <m:sub>
                    <m:r>
                      <m:t>i</m:t>
                    </m:r>
                  </m:sub>
                </m:sSub>
                <m:r>
                  <m:t>)</m:t>
                </m:r>
                <m:r>
                  <m:t>&gt;</m:t>
                </m:r>
                <m:r>
                  <m:t>0</m:t>
                </m:r>
                <m:r>
                  <m:t>}</m:t>
                </m:r>
              </m:e>
              <m:e/>
            </m:mr>
          </m:m>
        </m:oMath>
      </m:oMathPara>
    </w:p>
    <w:p>
      <w:pPr>
        <w:pStyle w:val="FirstParagraph"/>
      </w:pPr>
      <w:r>
        <w:t xml:space="preserve">For further analysis we impute that the function</w:t>
      </w:r>
      <w:r>
        <w:t xml:space="preserve"> </w:t>
      </w:r>
      <m:oMath>
        <m:sSub>
          <m:e>
            <m:r>
              <m:t>μ</m:t>
            </m:r>
          </m:e>
          <m:sub>
            <m:r>
              <m:t>ω</m:t>
            </m:r>
          </m:sub>
        </m:sSub>
        <m:r>
          <m:t>(</m:t>
        </m:r>
        <m:sSub>
          <m:e>
            <m:r>
              <m:t>X</m:t>
            </m:r>
          </m:e>
          <m:sub>
            <m:r>
              <m:t>i</m:t>
            </m:r>
          </m:sub>
        </m:sSub>
        <m:r>
          <m:t>)</m:t>
        </m:r>
      </m:oMath>
      <w:r>
        <w:t xml:space="preserve"> </w:t>
      </w:r>
      <w:r>
        <w:t xml:space="preserve">is linear in the agent’s characteristics and that the decision to leave leads to a change in income by</w:t>
      </w:r>
      <w:r>
        <w:t xml:space="preserve"> </w:t>
      </w:r>
      <m:oMath>
        <m:r>
          <m:t>γ</m:t>
        </m:r>
      </m:oMath>
      <w:r>
        <w:t xml:space="preserve">.</w:t>
      </w:r>
    </w:p>
    <w:p>
      <w:pPr>
        <w:pStyle w:val="BodyText"/>
      </w:pPr>
      <m:oMathPara>
        <m:oMathParaPr>
          <m:jc m:val="center"/>
        </m:oMathParaPr>
        <m:oMath>
          <m:sSub>
            <m:e>
              <m:r>
                <m:t>μ</m:t>
              </m:r>
            </m:e>
            <m:sub>
              <m:r>
                <m:t>ω</m:t>
              </m:r>
            </m:sub>
          </m:sSub>
          <m:r>
            <m:t>(</m:t>
          </m:r>
          <m:sSub>
            <m:e>
              <m:r>
                <m:t>X</m:t>
              </m:r>
            </m:e>
            <m:sub>
              <m:r>
                <m:t>i</m:t>
              </m:r>
            </m:sub>
          </m:sSub>
          <m:r>
            <m:t>)</m:t>
          </m:r>
          <m:r>
            <m:t>=</m:t>
          </m:r>
          <m:r>
            <m:t>β</m:t>
          </m:r>
          <m:sSub>
            <m:e>
              <m:r>
                <m:t>X</m:t>
              </m:r>
            </m:e>
            <m:sub>
              <m:r>
                <m:t>i</m:t>
              </m:r>
            </m:sub>
          </m:sSub>
          <m:r>
            <m:t>+</m:t>
          </m:r>
          <m:r>
            <m:t>ω</m:t>
          </m:r>
          <m:r>
            <m:t>γ</m:t>
          </m:r>
        </m:oMath>
      </m:oMathPara>
    </w:p>
    <w:p>
      <w:pPr>
        <w:pStyle w:val="FirstParagraph"/>
      </w:pPr>
      <w:r>
        <w:t xml:space="preserve">Simply inserting (2) in (4) leads to the following condition that determines the agent’s decision:</w:t>
      </w:r>
    </w:p>
    <w:p>
      <w:pPr>
        <w:pStyle w:val="BodyText"/>
      </w:pPr>
      <m:oMathPara>
        <m:oMathParaPr>
          <m:jc m:val="center"/>
        </m:oMathParaPr>
        <m:oMath>
          <m:r>
            <m:t>β</m:t>
          </m:r>
          <m:groupChr>
            <m:groupChrPr>
              <m:chr m:val="^"/>
              <m:pos m:val="top"/>
              <m:vertJc m:val="bot"/>
            </m:groupChrPr>
            <m:e>
              <m:r>
                <m:t>X</m:t>
              </m:r>
            </m:e>
          </m:groupChr>
          <m:r>
            <m:t>+</m:t>
          </m:r>
          <m:r>
            <m:t>γ</m:t>
          </m:r>
          <m:r>
            <m:t>+</m:t>
          </m:r>
          <m:sSub>
            <m:e>
              <m:r>
                <m:t>θ</m:t>
              </m:r>
            </m:e>
            <m:sub>
              <m:r>
                <m:t>i</m:t>
              </m:r>
            </m:sub>
          </m:sSub>
          <m:r>
            <m:t>−</m:t>
          </m:r>
          <m:r>
            <m:t>C</m:t>
          </m:r>
          <m:r>
            <m:t>(</m:t>
          </m:r>
          <m:sSub>
            <m:e>
              <m:r>
                <m:t>X</m:t>
              </m:r>
            </m:e>
            <m:sub>
              <m:r>
                <m:t>i</m:t>
              </m:r>
            </m:sub>
          </m:sSub>
          <m:r>
            <m:t>)</m:t>
          </m:r>
          <m:r>
            <m:t>+</m:t>
          </m:r>
          <m:groupChr>
            <m:groupChrPr>
              <m:chr m:val="^"/>
              <m:pos m:val="top"/>
              <m:vertJc m:val="bot"/>
            </m:groupChrPr>
            <m:e>
              <m:sSub>
                <m:e>
                  <m:r>
                    <m:t>ε</m:t>
                  </m:r>
                </m:e>
                <m:sub>
                  <m:r>
                    <m:t>i</m:t>
                  </m:r>
                </m:sub>
              </m:sSub>
            </m:e>
          </m:groupChr>
          <m:r>
            <m:t>&gt;</m:t>
          </m:r>
          <m:r>
            <m:t>0</m:t>
          </m:r>
        </m:oMath>
      </m:oMathPara>
    </w:p>
    <w:p>
      <w:pPr>
        <w:pStyle w:val="FirstParagraph"/>
      </w:pPr>
      <m:oMath>
        <m:groupChr>
          <m:groupChrPr>
            <m:chr m:val="^"/>
            <m:pos m:val="top"/>
            <m:vertJc m:val="bot"/>
          </m:groupChrPr>
          <m:e>
            <m:r>
              <m:t>X</m:t>
            </m:r>
          </m:e>
        </m:groupChr>
      </m:oMath>
      <w:r>
        <w:t xml:space="preserve"> </w:t>
      </w:r>
      <w:r>
        <w:t xml:space="preserve">and</w:t>
      </w:r>
      <w:r>
        <w:t xml:space="preserve"> </w:t>
      </w:r>
      <m:oMath>
        <m:groupChr>
          <m:groupChrPr>
            <m:chr m:val="^"/>
            <m:pos m:val="top"/>
            <m:vertJc m:val="bot"/>
          </m:groupChrPr>
          <m:e>
            <m:sSub>
              <m:e>
                <m:r>
                  <m:t>ε</m:t>
                </m:r>
              </m:e>
              <m:sub>
                <m:r>
                  <m:t>i</m:t>
                </m:r>
              </m:sub>
            </m:sSub>
          </m:e>
        </m:groupChr>
      </m:oMath>
      <w:r>
        <w:t xml:space="preserve"> </w:t>
      </w:r>
      <w:r>
        <w:t xml:space="preserve">denote the differences in the regarding parameters for each decision state.</w:t>
      </w:r>
      <w:r>
        <w:t xml:space="preserve"> </w:t>
      </w:r>
      <w:r>
        <w:t xml:space="preserve">Decomposing</w:t>
      </w:r>
      <w:r>
        <w:t xml:space="preserve"> </w:t>
      </w:r>
      <m:oMath>
        <m:sSub>
          <m:e>
            <m:r>
              <m:t>θ</m:t>
            </m:r>
          </m:e>
          <m:sub>
            <m:r>
              <m:t>i</m:t>
            </m:r>
          </m:sub>
        </m:sSub>
      </m:oMath>
      <w:r>
        <w:t xml:space="preserve"> </w:t>
      </w:r>
      <w:r>
        <w:t xml:space="preserve">in its mean</w:t>
      </w:r>
      <w:r>
        <w:t xml:space="preserve"> </w:t>
      </w:r>
      <m:oMath>
        <m:sSub>
          <m:e>
            <m:r>
              <m:t>δ</m:t>
            </m:r>
          </m:e>
          <m:sub>
            <m:r>
              <m:t>θ</m:t>
            </m:r>
          </m:sub>
        </m:sSub>
      </m:oMath>
      <w:r>
        <w:t xml:space="preserve"> </w:t>
      </w:r>
      <w:r>
        <w:t xml:space="preserve">and a variable parameter</w:t>
      </w:r>
      <w:r>
        <w:t xml:space="preserve"> </w:t>
      </w:r>
      <m:oMath>
        <m:sSub>
          <m:e>
            <m:r>
              <m:t>ν</m:t>
            </m:r>
          </m:e>
          <m:sub>
            <m:r>
              <m:t>i</m:t>
            </m:r>
          </m:sub>
        </m:sSub>
      </m:oMath>
      <w:r>
        <w:t xml:space="preserve"> </w:t>
      </w:r>
      <w:r>
        <w:t xml:space="preserve">and rearranging (5) leads to</w:t>
      </w:r>
    </w:p>
    <w:p>
      <w:pPr>
        <w:pStyle w:val="BodyText"/>
      </w:pPr>
      <m:oMathPara>
        <m:oMathParaPr>
          <m:jc m:val="center"/>
        </m:oMathParaPr>
        <m:oMath>
          <m:sSub>
            <m:e>
              <m:r>
                <m:t>ν</m:t>
              </m:r>
            </m:e>
            <m:sub>
              <m:r>
                <m:t>i</m:t>
              </m:r>
            </m:sub>
          </m:sSub>
          <m:r>
            <m:t>+</m:t>
          </m:r>
          <m:groupChr>
            <m:groupChrPr>
              <m:chr m:val="^"/>
              <m:pos m:val="top"/>
              <m:vertJc m:val="bot"/>
            </m:groupChrPr>
            <m:e>
              <m:sSub>
                <m:e>
                  <m:r>
                    <m:t>ε</m:t>
                  </m:r>
                </m:e>
                <m:sub>
                  <m:r>
                    <m:t>i</m:t>
                  </m:r>
                </m:sub>
              </m:sSub>
            </m:e>
          </m:groupChr>
          <m:r>
            <m:t>&gt;</m:t>
          </m:r>
          <m:r>
            <m:t>−</m:t>
          </m:r>
          <m:r>
            <m:t>β</m:t>
          </m:r>
          <m:groupChr>
            <m:groupChrPr>
              <m:chr m:val="^"/>
              <m:pos m:val="top"/>
              <m:vertJc m:val="bot"/>
            </m:groupChrPr>
            <m:e>
              <m:sSub>
                <m:e>
                  <m:r>
                    <m:t>X</m:t>
                  </m:r>
                </m:e>
                <m:sub>
                  <m:r>
                    <m:t>i</m:t>
                  </m:r>
                </m:sub>
              </m:sSub>
            </m:e>
          </m:groupChr>
          <m:r>
            <m:t>−</m:t>
          </m:r>
          <m:sSub>
            <m:e>
              <m:r>
                <m:t>δ</m:t>
              </m:r>
            </m:e>
            <m:sub>
              <m:r>
                <m:t>θ</m:t>
              </m:r>
            </m:sub>
          </m:sSub>
          <m:r>
            <m:t>−</m:t>
          </m:r>
          <m:r>
            <m:t>γ</m:t>
          </m:r>
          <m:r>
            <m:t>+</m:t>
          </m:r>
          <m:r>
            <m:t>C</m:t>
          </m:r>
          <m:r>
            <m:t>(</m:t>
          </m:r>
          <m:sSub>
            <m:e>
              <m:r>
                <m:t>X</m:t>
              </m:r>
            </m:e>
            <m:sub>
              <m:r>
                <m:t>i</m:t>
              </m:r>
            </m:sub>
          </m:sSub>
          <m:r>
            <m:t>)</m:t>
          </m:r>
        </m:oMath>
      </m:oMathPara>
    </w:p>
    <w:p>
      <w:pPr>
        <w:pStyle w:val="FirstParagraph"/>
      </w:pPr>
      <w:r>
        <w:t xml:space="preserve">Condition (5) provides the opportunity to check different intuitive assumptions on how the agents behave if different parameters of our model are</w:t>
      </w:r>
      <w:r>
        <w:t xml:space="preserve"> </w:t>
      </w:r>
      <w:r>
        <w:t xml:space="preserve">shifted. With holding all other parameters and assumptions about distributional characteristics constant an increase in</w:t>
      </w:r>
      <w:r>
        <w:t xml:space="preserve"> </w:t>
      </w:r>
      <m:oMath>
        <m:sSub>
          <m:e>
            <m:r>
              <m:t>δ</m:t>
            </m:r>
          </m:e>
          <m:sub>
            <m:r>
              <m:t>θ</m:t>
            </m:r>
          </m:sub>
        </m:sSub>
      </m:oMath>
      <w:r>
        <w:t xml:space="preserve"> </w:t>
      </w:r>
      <w:r>
        <w:t xml:space="preserve">will potentially increase the number of individuals for which (5) is full filled. In other words, a general increase in utility obtained by leaving the parental household during tertiary education within the population will potentially increase the number of individuals for who (5) holds.</w:t>
      </w:r>
      <w:r>
        <w:br w:type="textWrapping"/>
      </w:r>
      <w:r>
        <w:t xml:space="preserve">Vice versa an increase of the costs</w:t>
      </w:r>
      <w:r>
        <w:t xml:space="preserve"> </w:t>
      </w:r>
      <m:oMath>
        <m:r>
          <m:t>C</m:t>
        </m:r>
        <m:r>
          <m:t>(</m:t>
        </m:r>
        <m:sSub>
          <m:e>
            <m:r>
              <m:t>X</m:t>
            </m:r>
          </m:e>
          <m:sub>
            <m:r>
              <m:t>i</m:t>
            </m:r>
          </m:sub>
        </m:sSub>
        <m:r>
          <m:t>)</m:t>
        </m:r>
      </m:oMath>
      <w:r>
        <w:t xml:space="preserve"> </w:t>
      </w:r>
      <w:r>
        <w:t xml:space="preserve">will work the other way round so that the number of individuals with (5) holding would decreases. This seems to be an intuitive reaction. If costs for leaving your parental household are rising it could be optimal for the individual to decide to stay.</w:t>
      </w:r>
      <w:r>
        <w:br w:type="textWrapping"/>
      </w:r>
      <w:r>
        <w:t xml:space="preserve">Last but not least an increase in</w:t>
      </w:r>
      <w:r>
        <w:t xml:space="preserve"> </w:t>
      </w:r>
      <m:oMath>
        <m:r>
          <m:t>γ</m:t>
        </m:r>
      </m:oMath>
      <w:r>
        <w:t xml:space="preserve">, the increase in income associated with leaving your parental household, will also lead to a potentially increase of the individuals that decide to leave their parental household. From this perspective the model seems to be accurate to illustrate intuitive reactions of individuals associated with their decisions.</w:t>
      </w:r>
    </w:p>
    <w:p>
      <w:pPr>
        <w:pStyle w:val="BodyText"/>
      </w:pPr>
      <w:r>
        <w:t xml:space="preserve">Since we assumed independence of</w:t>
      </w:r>
      <w:r>
        <w:t xml:space="preserve"> </w:t>
      </w:r>
      <m:oMath>
        <m:sSub>
          <m:e>
            <m:r>
              <m:t>θ</m:t>
            </m:r>
          </m:e>
          <m:sub>
            <m:r>
              <m:t>i</m:t>
            </m:r>
          </m:sub>
        </m:sSub>
      </m:oMath>
      <w:r>
        <w:t xml:space="preserve"> </w:t>
      </w:r>
      <w:r>
        <w:t xml:space="preserve">and</w:t>
      </w:r>
      <w:r>
        <w:t xml:space="preserve"> </w:t>
      </w:r>
      <m:oMath>
        <m:sSub>
          <m:e>
            <m:r>
              <m:t>ε</m:t>
            </m:r>
          </m:e>
          <m:sub>
            <m:r>
              <m:t>i</m:t>
            </m:r>
          </m:sub>
        </m:sSub>
      </m:oMath>
      <w:r>
        <w:t xml:space="preserve">, dividing both sides by</w:t>
      </w:r>
      <w:r>
        <w:t xml:space="preserve"> </w:t>
      </w:r>
      <m:oMath>
        <m:sSub>
          <m:e>
            <m:r>
              <m:t>σ</m:t>
            </m:r>
          </m:e>
          <m:sub>
            <m:r>
              <m:t>θ</m:t>
            </m:r>
            <m:r>
              <m:t>,</m:t>
            </m:r>
            <m:groupChr>
              <m:groupChrPr>
                <m:chr m:val="^"/>
                <m:pos m:val="top"/>
                <m:vertJc m:val="bot"/>
              </m:groupChrPr>
              <m:e>
                <m:sSub>
                  <m:e>
                    <m:r>
                      <m:t>ε</m:t>
                    </m:r>
                  </m:e>
                  <m:sub>
                    <m:r>
                      <m:t>i</m:t>
                    </m:r>
                  </m:sub>
                </m:sSub>
              </m:e>
            </m:groupChr>
          </m:sub>
        </m:sSub>
      </m:oMath>
      <w:r>
        <w:t xml:space="preserve"> </w:t>
      </w:r>
      <w:r>
        <w:t xml:space="preserve">will ensure that the left side of the equation follows a normal distribution with mean</w:t>
      </w:r>
      <w:r>
        <w:t xml:space="preserve"> </w:t>
      </w:r>
      <m:oMath>
        <m:r>
          <m:t>0</m:t>
        </m:r>
      </m:oMath>
      <w:r>
        <w:t xml:space="preserve"> </w:t>
      </w:r>
      <w:r>
        <w:t xml:space="preserve">and variance</w:t>
      </w:r>
      <w:r>
        <w:t xml:space="preserve"> </w:t>
      </w:r>
      <m:oMath>
        <m:r>
          <m:t>1</m:t>
        </m:r>
      </m:oMath>
      <w:r>
        <w:t xml:space="preserve">. It follows that the probability that this condition holds is equal to</w:t>
      </w:r>
    </w:p>
    <w:p>
      <w:pPr>
        <w:pStyle w:val="BodyText"/>
      </w:pPr>
      <m:oMathPara>
        <m:oMathParaPr>
          <m:jc m:val="center"/>
        </m:oMathParaPr>
        <m:oMath>
          <m:r>
            <m:t>P</m:t>
          </m:r>
          <m:r>
            <m:t>(</m:t>
          </m:r>
          <m:r>
            <m:t>m</m:t>
          </m:r>
          <m:r>
            <m:t>o</m:t>
          </m:r>
          <m:r>
            <m:t>v</m:t>
          </m:r>
          <m:r>
            <m:t>i</m:t>
          </m:r>
          <m:r>
            <m:t>n</m:t>
          </m:r>
          <m:sSub>
            <m:e>
              <m:r>
                <m:t>g</m:t>
              </m:r>
            </m:e>
            <m:sub>
              <m:r>
                <m:t>i</m:t>
              </m:r>
            </m:sub>
          </m:sSub>
          <m:r>
            <m:t>=</m:t>
          </m:r>
          <m:r>
            <m:t>1</m:t>
          </m:r>
          <m:r>
            <m:t>)</m:t>
          </m:r>
          <m:r>
            <m:t>=</m:t>
          </m:r>
          <m:r>
            <m:t>1</m:t>
          </m:r>
          <m:r>
            <m:t>−</m:t>
          </m:r>
          <m:r>
            <m:t>Φ</m:t>
          </m:r>
          <m:r>
            <m:t>(</m:t>
          </m:r>
          <m:r>
            <m:t>o</m:t>
          </m:r>
          <m:r>
            <m:t>)</m:t>
          </m:r>
        </m:oMath>
      </m:oMathPara>
    </w:p>
    <w:p>
      <w:pPr>
        <w:pStyle w:val="FirstParagraph"/>
      </w:pPr>
      <w:r>
        <w:t xml:space="preserve">with</w:t>
      </w:r>
      <w:r>
        <w:t xml:space="preserve"> </w:t>
      </w:r>
      <m:oMath>
        <m:r>
          <m:t>o</m:t>
        </m:r>
        <m:r>
          <m:t>=</m:t>
        </m:r>
        <m:f>
          <m:fPr>
            <m:type m:val="bar"/>
          </m:fPr>
          <m:num>
            <m:r>
              <m:t>−</m:t>
            </m:r>
            <m:r>
              <m:t>β</m:t>
            </m:r>
            <m:groupChr>
              <m:groupChrPr>
                <m:chr m:val="^"/>
                <m:pos m:val="top"/>
                <m:vertJc m:val="bot"/>
              </m:groupChrPr>
              <m:e>
                <m:sSub>
                  <m:e>
                    <m:r>
                      <m:t>X</m:t>
                    </m:r>
                  </m:e>
                  <m:sub>
                    <m:r>
                      <m:t>i</m:t>
                    </m:r>
                  </m:sub>
                </m:sSub>
              </m:e>
            </m:groupChr>
            <m:r>
              <m:t>−</m:t>
            </m:r>
            <m:sSub>
              <m:e>
                <m:r>
                  <m:t>μ</m:t>
                </m:r>
              </m:e>
              <m:sub>
                <m:r>
                  <m:t>θ</m:t>
                </m:r>
              </m:sub>
            </m:sSub>
            <m:r>
              <m:t>−</m:t>
            </m:r>
            <m:r>
              <m:t>γ</m:t>
            </m:r>
            <m:r>
              <m:t>+</m:t>
            </m:r>
            <m:r>
              <m:t>C</m:t>
            </m:r>
            <m:r>
              <m:t>(</m:t>
            </m:r>
            <m:sSub>
              <m:e>
                <m:r>
                  <m:t>X</m:t>
                </m:r>
              </m:e>
              <m:sub>
                <m:r>
                  <m:t>i</m:t>
                </m:r>
              </m:sub>
            </m:sSub>
            <m:r>
              <m:t>)</m:t>
            </m:r>
          </m:num>
          <m:den>
            <m:sSub>
              <m:e>
                <m:r>
                  <m:t>σ</m:t>
                </m:r>
              </m:e>
              <m:sub>
                <m:r>
                  <m:t>θ</m:t>
                </m:r>
                <m:r>
                  <m:t>,</m:t>
                </m:r>
                <m:groupChr>
                  <m:groupChrPr>
                    <m:chr m:val="^"/>
                    <m:pos m:val="top"/>
                    <m:vertJc m:val="bot"/>
                  </m:groupChrPr>
                  <m:e>
                    <m:sSub>
                      <m:e>
                        <m:r>
                          <m:t>ε</m:t>
                        </m:r>
                      </m:e>
                      <m:sub>
                        <m:r>
                          <m:t>i</m:t>
                        </m:r>
                      </m:sub>
                    </m:sSub>
                  </m:e>
                </m:groupChr>
              </m:sub>
            </m:sSub>
          </m:den>
        </m:f>
      </m:oMath>
      <w:r>
        <w:t xml:space="preserve"> </w:t>
      </w:r>
      <w:r>
        <w:t xml:space="preserve">and</w:t>
      </w:r>
      <w:r>
        <w:t xml:space="preserve"> </w:t>
      </w:r>
      <m:oMath>
        <m:r>
          <m:t>Φ</m:t>
        </m:r>
        <m:r>
          <m:t>(</m:t>
        </m:r>
        <m:groupChr>
          <m:groupChrPr>
            <m:chr m:val="̇"/>
            <m:pos m:val="top"/>
            <m:vertJc m:val="bot"/>
          </m:groupChrPr>
          <m:e>
            <m:r>
              <m:t>)</m:t>
            </m:r>
          </m:e>
        </m:groupChr>
      </m:oMath>
      <w:r>
        <w:t xml:space="preserve"> </w:t>
      </w:r>
      <w:r>
        <w:t xml:space="preserve">as the cumulative distribution function of a standard normal distribution.</w:t>
      </w:r>
    </w:p>
    <w:p>
      <w:pPr>
        <w:pStyle w:val="BodyText"/>
      </w:pPr>
      <w:r>
        <w:t xml:space="preserve"> Some references: (Heckman, 2001; Roy, 1951)</w:t>
      </w:r>
    </w:p>
    <w:p>
      <w:pPr>
        <w:pStyle w:val="BodyText"/>
      </w:pPr>
      <w:r>
        <w:br w:type="textWrapping"/>
      </w:r>
    </w:p>
    <w:p>
      <w:pPr>
        <w:pStyle w:val="Heading1"/>
      </w:pPr>
      <w:bookmarkStart w:id="24" w:name="variables-and-estimation-strategies"/>
      <w:bookmarkEnd w:id="24"/>
      <w:r>
        <w:t xml:space="preserve">Variables and Estimation</w:t>
      </w:r>
      <w:r>
        <w:t xml:space="preserve"> </w:t>
      </w:r>
      <w:r>
        <w:t xml:space="preserve">Strategies</w:t>
      </w:r>
    </w:p>
    <w:p>
      <w:pPr>
        <w:pStyle w:val="FirstParagraph"/>
      </w:pPr>
      <w:r>
        <w:br w:type="textWrapping"/>
      </w:r>
      <w:r>
        <w:br w:type="textWrapping"/>
      </w:r>
    </w:p>
    <w:p>
      <w:pPr>
        <w:pStyle w:val="Heading2"/>
      </w:pPr>
      <w:bookmarkStart w:id="25" w:name="variables"/>
      <w:bookmarkEnd w:id="25"/>
      <w:r>
        <w:t xml:space="preserve">Variables</w:t>
      </w:r>
    </w:p>
    <w:p>
      <w:pPr>
        <w:pStyle w:val="FirstParagraph"/>
      </w:pPr>
      <w:r>
        <w:t xml:space="preserve">Our analysis on the decision is based on several determinants which are</w:t>
      </w:r>
      <w:r>
        <w:t xml:space="preserve"> </w:t>
      </w:r>
      <w:r>
        <w:t xml:space="preserve">derived from evidence in the literature and own anticipation:</w:t>
      </w:r>
    </w:p>
    <w:p>
      <w:pPr>
        <w:pStyle w:val="BodyText"/>
      </w:pPr>
      <w:r>
        <w:br w:type="textWrapping"/>
      </w:r>
      <w:r>
        <w:rPr>
          <w:b/>
        </w:rPr>
        <w:t xml:space="preserve">Birth cohorts</w:t>
      </w:r>
    </w:p>
    <w:p>
      <w:pPr>
        <w:pStyle w:val="BodyText"/>
      </w:pPr>
      <w:r>
        <w:t xml:space="preserve">(Holdsworth, 2000) points out that reason and destination of young</w:t>
      </w:r>
      <w:r>
        <w:t xml:space="preserve"> </w:t>
      </w:r>
      <w:r>
        <w:t xml:space="preserve">people leaving home has shifted from leaving for marriage and then</w:t>
      </w:r>
      <w:r>
        <w:t xml:space="preserve"> </w:t>
      </w:r>
      <w:r>
        <w:t xml:space="preserve">co-residing with the spouse, to an demand of young people expiriencing</w:t>
      </w:r>
      <w:r>
        <w:t xml:space="preserve"> </w:t>
      </w:r>
      <w:r>
        <w:t xml:space="preserve">independent living, before building up an union with their future</w:t>
      </w:r>
      <w:r>
        <w:t xml:space="preserve"> </w:t>
      </w:r>
      <w:r>
        <w:t xml:space="preserve">companion.  </w:t>
      </w:r>
    </w:p>
    <w:p>
      <w:pPr>
        <w:pStyle w:val="BodyText"/>
      </w:pPr>
      <w:r>
        <w:br w:type="textWrapping"/>
      </w:r>
      <w:r>
        <w:rPr>
          <w:b/>
        </w:rPr>
        <w:t xml:space="preserve">Gender</w:t>
      </w:r>
    </w:p>
    <w:p>
      <w:pPr>
        <w:pStyle w:val="BodyText"/>
      </w:pPr>
      <w:r>
        <w:t xml:space="preserve">Across all european countries, policy envoirements and social</w:t>
      </w:r>
      <w:r>
        <w:t xml:space="preserve"> </w:t>
      </w:r>
      <w:r>
        <w:t xml:space="preserve">groups (Billari, Philipov, &amp; Baiz</w:t>
      </w:r>
      <w:r>
        <w:t xml:space="preserve">á</w:t>
      </w:r>
      <w:r>
        <w:t xml:space="preserve">n, 2001) and (Aassve, Billari, Mazzuco, &amp; Ongaro, 2002) find that women leave</w:t>
      </w:r>
      <w:r>
        <w:t xml:space="preserve"> </w:t>
      </w:r>
      <w:r>
        <w:t xml:space="preserve">earlier than men. Therefore we need to control for students in Germany</w:t>
      </w:r>
      <w:r>
        <w:t xml:space="preserve"> </w:t>
      </w:r>
      <w:r>
        <w:t xml:space="preserve">as well.</w:t>
      </w:r>
    </w:p>
    <w:p>
      <w:pPr>
        <w:pStyle w:val="BodyText"/>
      </w:pPr>
      <w:r>
        <w:br w:type="textWrapping"/>
      </w:r>
      <w:r>
        <w:rPr>
          <w:b/>
        </w:rPr>
        <w:t xml:space="preserve">Household income</w:t>
      </w:r>
    </w:p>
    <w:p>
      <w:pPr>
        <w:pStyle w:val="BodyText"/>
      </w:pPr>
      <w:r>
        <w:t xml:space="preserve">It is very intuivly that the houshold income at the time of moving out,</w:t>
      </w:r>
      <w:r>
        <w:t xml:space="preserve"> </w:t>
      </w:r>
      <w:r>
        <w:t xml:space="preserve">is a driving factor. On the other side has Germany student subsidy</w:t>
      </w:r>
      <w:r>
        <w:t xml:space="preserve"> </w:t>
      </w:r>
      <w:r>
        <w:t xml:space="preserve">programs, which should provide a income independent decision of</w:t>
      </w:r>
      <w:r>
        <w:t xml:space="preserve"> </w:t>
      </w:r>
      <w:r>
        <w:t xml:space="preserve">residency. (Laferrere, 2004) shows the househol income ’s effect</w:t>
      </w:r>
      <w:r>
        <w:t xml:space="preserve"> </w:t>
      </w:r>
      <w:r>
        <w:t xml:space="preserve">ambiguity on the decision of leaving home. While parent’s higher income</w:t>
      </w:r>
      <w:r>
        <w:t xml:space="preserve"> </w:t>
      </w:r>
      <w:r>
        <w:t xml:space="preserve">could result in a less constraint choice of a dwelling, it also can</w:t>
      </w:r>
      <w:r>
        <w:t xml:space="preserve"> </w:t>
      </w:r>
      <w:r>
        <w:t xml:space="preserve">indicate better facilities, i.e. space in the parental home.</w:t>
      </w:r>
    </w:p>
    <w:p>
      <w:pPr>
        <w:pStyle w:val="BodyText"/>
      </w:pPr>
      <w:r>
        <w:br w:type="textWrapping"/>
      </w:r>
      <w:r>
        <w:rPr>
          <w:b/>
        </w:rPr>
        <w:t xml:space="preserve">Migration Background</w:t>
      </w:r>
    </w:p>
    <w:p>
      <w:pPr>
        <w:pStyle w:val="BodyText"/>
      </w:pPr>
      <w:r>
        <w:t xml:space="preserve">We control for a Migration background not only</w:t>
      </w:r>
      <w:r>
        <w:t xml:space="preserve"> </w:t>
      </w:r>
      <w:r>
        <w:t xml:space="preserve">because (Billari, Philipov, &amp; Baiz</w:t>
      </w:r>
      <w:r>
        <w:t xml:space="preserve">á</w:t>
      </w:r>
      <w:r>
        <w:t xml:space="preserve">n, 2001) and (Aassve, Billari, Mazzuco, &amp; Ongaro, 2002) find different</w:t>
      </w:r>
      <w:r>
        <w:t xml:space="preserve"> </w:t>
      </w:r>
      <w:r>
        <w:t xml:space="preserve">patterns across European countries, but also (Jeong, Hamplov</w:t>
      </w:r>
      <w:r>
        <w:t xml:space="preserve">á</w:t>
      </w:r>
      <w:r>
        <w:t xml:space="preserve">, &amp; Bourdais, 2013) show</w:t>
      </w:r>
      <w:r>
        <w:t xml:space="preserve"> </w:t>
      </w:r>
      <w:r>
        <w:t xml:space="preserve">that immigrants in Canada keep the leaving age tendency of their home</w:t>
      </w:r>
      <w:r>
        <w:t xml:space="preserve"> </w:t>
      </w:r>
      <w:r>
        <w:t xml:space="preserve">country for the first generations, before it disappears. </w:t>
      </w:r>
    </w:p>
    <w:p>
      <w:pPr>
        <w:pStyle w:val="BodyText"/>
      </w:pPr>
      <w:r>
        <w:br w:type="textWrapping"/>
      </w:r>
      <w:r>
        <w:rPr>
          <w:b/>
        </w:rPr>
        <w:t xml:space="preserve">Parent’s educational background</w:t>
      </w:r>
    </w:p>
    <w:p>
      <w:pPr>
        <w:pStyle w:val="BodyText"/>
      </w:pPr>
      <w:r>
        <w:t xml:space="preserve">We control for the influence by parental education with dummy variables</w:t>
      </w:r>
      <w:r>
        <w:t xml:space="preserve"> </w:t>
      </w:r>
      <w:r>
        <w:t xml:space="preserve">for the achievement of the highest school diploma in Germany(Abitur). It</w:t>
      </w:r>
      <w:r>
        <w:t xml:space="preserve"> </w:t>
      </w:r>
      <w:r>
        <w:t xml:space="preserve">is well documented in the literature, that  a higher parental education</w:t>
      </w:r>
      <w:r>
        <w:t xml:space="preserve"> </w:t>
      </w:r>
      <w:r>
        <w:t xml:space="preserve">raises the probability of the children to go to</w:t>
      </w:r>
      <w:r>
        <w:t xml:space="preserve"> </w:t>
      </w:r>
      <w:r>
        <w:t xml:space="preserve">college. (Holdsworth, 2000) shows that in Britain as well as in Spain</w:t>
      </w:r>
      <w:r>
        <w:t xml:space="preserve"> </w:t>
      </w:r>
      <w:r>
        <w:t xml:space="preserve">higher education of the father raises the probability of moving out to</w:t>
      </w:r>
      <w:r>
        <w:t xml:space="preserve"> </w:t>
      </w:r>
      <w:r>
        <w:t xml:space="preserve">pursue higher education. For Britain she also proves the impact of the</w:t>
      </w:r>
      <w:r>
        <w:t xml:space="preserve"> </w:t>
      </w:r>
      <w:r>
        <w:t xml:space="preserve">mother’s education, while in Spain it doesn’t have a significant effect.</w:t>
      </w:r>
    </w:p>
    <w:p>
      <w:pPr>
        <w:pStyle w:val="BodyText"/>
      </w:pPr>
      <w:r>
        <w:br w:type="textWrapping"/>
      </w:r>
      <w:r>
        <w:t xml:space="preserve">The variables mentioned above were all subject to studies on the</w:t>
      </w:r>
      <w:r>
        <w:t xml:space="preserve"> </w:t>
      </w:r>
      <w:r>
        <w:t xml:space="preserve">behavior of moving out before. In this paper we use a different approach</w:t>
      </w:r>
      <w:r>
        <w:t xml:space="preserve"> </w:t>
      </w:r>
      <w:r>
        <w:t xml:space="preserve">to explain the decisions of a young adult to move out before college</w:t>
      </w:r>
      <w:r>
        <w:t xml:space="preserve"> </w:t>
      </w:r>
      <w:r>
        <w:t xml:space="preserve">graduation. The approach allows to control for heterogeneity in</w:t>
      </w:r>
      <w:r>
        <w:t xml:space="preserve"> </w:t>
      </w:r>
      <w:r>
        <w:t xml:space="preserve">personality as a driving factor for the decision.  We faced for all</w:t>
      </w:r>
      <w:r>
        <w:t xml:space="preserve"> </w:t>
      </w:r>
      <w:r>
        <w:t xml:space="preserve">following Variables the Problem, that they were measured at different at</w:t>
      </w:r>
      <w:r>
        <w:t xml:space="preserve"> </w:t>
      </w:r>
      <w:r>
        <w:t xml:space="preserve">points in time. For members of our treatment group, i.e. for the people</w:t>
      </w:r>
      <w:r>
        <w:t xml:space="preserve"> </w:t>
      </w:r>
      <w:r>
        <w:t xml:space="preserve">moved out during college, we used the data justifiable to be valid at</w:t>
      </w:r>
      <w:r>
        <w:t xml:space="preserve"> </w:t>
      </w:r>
      <w:r>
        <w:t xml:space="preserve">the time of decision taking. For individuals living at home at the end</w:t>
      </w:r>
      <w:r>
        <w:t xml:space="preserve"> </w:t>
      </w:r>
      <w:r>
        <w:t xml:space="preserve">of their study we used data justifiable to be valid 3 years before</w:t>
      </w:r>
      <w:r>
        <w:t xml:space="preserve"> </w:t>
      </w:r>
      <w:r>
        <w:t xml:space="preserve">ending their education. This rule to choose the adequate point of time</w:t>
      </w:r>
      <w:r>
        <w:t xml:space="preserve"> </w:t>
      </w:r>
      <w:r>
        <w:t xml:space="preserve">was also applied for the household income.</w:t>
      </w:r>
    </w:p>
    <w:p>
      <w:pPr>
        <w:pStyle w:val="BodyText"/>
      </w:pPr>
      <w:r>
        <w:br w:type="textWrapping"/>
      </w:r>
      <w:r>
        <w:rPr>
          <w:b/>
        </w:rPr>
        <w:t xml:space="preserve">Big Five</w:t>
      </w:r>
    </w:p>
    <w:p>
      <w:pPr>
        <w:pStyle w:val="BodyText"/>
      </w:pPr>
      <w:r>
        <w:t xml:space="preserve">(Allport &amp; Odbert, 1936)  started with  17,953  personality describing words</w:t>
      </w:r>
      <w:r>
        <w:t xml:space="preserve"> </w:t>
      </w:r>
      <w:r>
        <w:t xml:space="preserve">and reduced them 4,505  personality adjectives. Using factor analysis</w:t>
      </w:r>
      <w:r>
        <w:t xml:space="preserve"> </w:t>
      </w:r>
      <w:r>
        <w:t xml:space="preserve">they loaded these adjectives into five subordinate factors. By</w:t>
      </w:r>
      <w:r>
        <w:t xml:space="preserve"> </w:t>
      </w:r>
      <w:r>
        <w:t xml:space="preserve">convention these are today  Openness to experience, Conscientiousness,</w:t>
      </w:r>
      <w:r>
        <w:t xml:space="preserve"> </w:t>
      </w:r>
      <w:r>
        <w:t xml:space="preserve">Extraversion, Agreeableness and Neuroticism. </w:t>
      </w:r>
    </w:p>
    <w:p>
      <w:pPr>
        <w:pStyle w:val="BodyText"/>
      </w:pPr>
      <w:r>
        <w:t xml:space="preserve"> (Caliendo, Fossen, &amp; Kritikos, 2013) describe the personality traits as follows: </w:t>
      </w:r>
    </w:p>
    <w:p>
      <w:pPr>
        <w:pStyle w:val="BodyText"/>
      </w:pPr>
      <w:r>
        <w:t xml:space="preserve">Openness to new experience describes the ability for seeking new</w:t>
      </w:r>
      <w:r>
        <w:t xml:space="preserve"> </w:t>
      </w:r>
      <w:r>
        <w:t xml:space="preserve">experiences and exploring novel ideas. Individuals with high scores</w:t>
      </w:r>
      <w:r>
        <w:t xml:space="preserve"> </w:t>
      </w:r>
      <w:r>
        <w:t xml:space="preserve">should be creative, innovative and curious (McCrae, 1987). It is</w:t>
      </w:r>
      <w:r>
        <w:t xml:space="preserve"> </w:t>
      </w:r>
      <w:r>
        <w:t xml:space="preserve">also strongly correlated to cognitive skills, especially to intelligence</w:t>
      </w:r>
      <w:r>
        <w:t xml:space="preserve"> </w:t>
      </w:r>
      <w:r>
        <w:t xml:space="preserve">related to originality and broad-mindedness (Barrick &amp; Mount, 1991). </w:t>
      </w:r>
    </w:p>
    <w:p>
      <w:pPr>
        <w:pStyle w:val="BodyText"/>
      </w:pPr>
      <w:r>
        <w:t xml:space="preserve">Conscientious individuals are described as achievement orientated on one</w:t>
      </w:r>
      <w:r>
        <w:t xml:space="preserve"> </w:t>
      </w:r>
      <w:r>
        <w:t xml:space="preserve">side and on the other as hard workers, efficient and dutiful.</w:t>
      </w:r>
    </w:p>
    <w:p>
      <w:pPr>
        <w:pStyle w:val="BodyText"/>
      </w:pPr>
      <w:r>
        <w:t xml:space="preserve">Persons with high scores in extraversion are predicted to be assertive,</w:t>
      </w:r>
      <w:r>
        <w:t xml:space="preserve"> </w:t>
      </w:r>
      <w:r>
        <w:t xml:space="preserve">dominant, ambitious, energetic and seek leadership</w:t>
      </w:r>
      <w:r>
        <w:t xml:space="preserve"> </w:t>
      </w:r>
      <w:r>
        <w:t xml:space="preserve">roles (Judge, Higgins, Thoresen, &amp; Barrick, 1999).</w:t>
      </w:r>
    </w:p>
    <w:p>
      <w:pPr>
        <w:pStyle w:val="BodyText"/>
      </w:pPr>
      <w:r>
        <w:t xml:space="preserve">Agreeableness focuses on interpersonal relationship. People with a high</w:t>
      </w:r>
      <w:r>
        <w:t xml:space="preserve"> </w:t>
      </w:r>
      <w:r>
        <w:t xml:space="preserve">score are forgiving and have a trusting nature, though they are very</w:t>
      </w:r>
      <w:r>
        <w:t xml:space="preserve"> </w:t>
      </w:r>
      <w:r>
        <w:t xml:space="preserve">cooperative. A low score would indicate a self-centered and hard</w:t>
      </w:r>
      <w:r>
        <w:t xml:space="preserve"> </w:t>
      </w:r>
      <w:r>
        <w:t xml:space="preserve">bargaining individuals.</w:t>
      </w:r>
    </w:p>
    <w:p>
      <w:pPr>
        <w:pStyle w:val="BodyText"/>
      </w:pPr>
      <w:r>
        <w:t xml:space="preserve">Neuroticism or as a opposite pole emotional stability</w:t>
      </w:r>
      <w:r>
        <w:t xml:space="preserve"> </w:t>
      </w:r>
      <w:r>
        <w:t xml:space="preserve">as (Caliendo, Fossen, &amp; Kritikos, 2013) uses it. Neuroticism in his negative</w:t>
      </w:r>
      <w:r>
        <w:t xml:space="preserve"> </w:t>
      </w:r>
      <w:r>
        <w:t xml:space="preserve">interpretation, so low scores, are individuals characterized as</w:t>
      </w:r>
      <w:r>
        <w:t xml:space="preserve"> </w:t>
      </w:r>
      <w:r>
        <w:t xml:space="preserve">self-confident, relaxed and able to tolerance stress. Though they can</w:t>
      </w:r>
      <w:r>
        <w:t xml:space="preserve"> </w:t>
      </w:r>
      <w:r>
        <w:t xml:space="preserve">manage performance pressure, remain optimistic and maintain</w:t>
      </w:r>
      <w:r>
        <w:t xml:space="preserve"> </w:t>
      </w:r>
      <w:r>
        <w:t xml:space="preserve">relationships towards others.</w:t>
      </w:r>
    </w:p>
    <w:p>
      <w:pPr>
        <w:pStyle w:val="BodyText"/>
      </w:pPr>
      <w:r>
        <w:br w:type="textWrapping"/>
      </w:r>
      <w:r>
        <w:t xml:space="preserve">These five factors are measured in the SOEP in a battery of 15</w:t>
      </w:r>
      <w:r>
        <w:t xml:space="preserve"> </w:t>
      </w:r>
      <w:r>
        <w:t xml:space="preserve">questions. We use the insights of the factor analysis</w:t>
      </w:r>
      <w:r>
        <w:t xml:space="preserve"> </w:t>
      </w:r>
      <w:r>
        <w:t xml:space="preserve">in (Dehne &amp; Schupp, 2007) to identify for each of the five the main three</w:t>
      </w:r>
      <w:r>
        <w:t xml:space="preserve"> </w:t>
      </w:r>
      <w:r>
        <w:t xml:space="preserve">items and their algebraic sign on the trait. For the negative items we</w:t>
      </w:r>
      <w:r>
        <w:t xml:space="preserve"> </w:t>
      </w:r>
      <w:r>
        <w:t xml:space="preserve">reverse the ranking and therefore generate each trait by adding the</w:t>
      </w:r>
      <w:r>
        <w:t xml:space="preserve"> </w:t>
      </w:r>
      <w:r>
        <w:t xml:space="preserve">three items and z-normalize them. In (Cobb-Clark &amp; Schurer, 2012) </w:t>
      </w:r>
      <w:r>
        <w:t xml:space="preserve"> </w:t>
      </w:r>
      <w:r>
        <w:t xml:space="preserve">and (Elkins, Kassenboehmer, &amp; Schurer, 2017) show that for individuals in their adolescence</w:t>
      </w:r>
      <w:r>
        <w:t xml:space="preserve"> </w:t>
      </w:r>
      <w:r>
        <w:t xml:space="preserve">groups a mean-level consistency for at least 4 years. Therefore we can</w:t>
      </w:r>
      <w:r>
        <w:t xml:space="preserve"> </w:t>
      </w:r>
      <w:r>
        <w:t xml:space="preserve">include in the data set for determining the choice only individuals</w:t>
      </w:r>
      <w:r>
        <w:t xml:space="preserve"> </w:t>
      </w:r>
      <w:r>
        <w:t xml:space="preserve">moving out after 2002 or finishing their studies later than 2006. </w:t>
      </w:r>
    </w:p>
    <w:p>
      <w:pPr>
        <w:pStyle w:val="BodyText"/>
      </w:pPr>
      <w:r>
        <w:br w:type="textWrapping"/>
      </w:r>
      <w:r>
        <w:t xml:space="preserve"> (Caliendo, Fossen, &amp; Kritikos, 2013) discuss the explanatory value of further</w:t>
      </w:r>
      <w:r>
        <w:t xml:space="preserve"> </w:t>
      </w:r>
      <w:r>
        <w:t xml:space="preserve">non-cognitive traits, e.g. Locus of Control and Willingness to take</w:t>
      </w:r>
      <w:r>
        <w:t xml:space="preserve"> </w:t>
      </w:r>
      <w:r>
        <w:t xml:space="preserve">Risk. Using a factor analysis they show their value to explain variety</w:t>
      </w:r>
      <w:r>
        <w:t xml:space="preserve"> </w:t>
      </w:r>
      <w:r>
        <w:t xml:space="preserve">in human capital decisions. Therefore we include those two as well, as</w:t>
      </w:r>
      <w:r>
        <w:t xml:space="preserve"> </w:t>
      </w:r>
      <w:r>
        <w:t xml:space="preserve">they are measured in a similar interval as the big five. </w:t>
      </w:r>
    </w:p>
    <w:p>
      <w:pPr>
        <w:pStyle w:val="BodyText"/>
      </w:pPr>
      <w:r>
        <w:br w:type="textWrapping"/>
      </w:r>
      <w:r>
        <w:rPr>
          <w:b/>
        </w:rPr>
        <w:t xml:space="preserve">Locus of Control</w:t>
      </w:r>
    </w:p>
    <w:p>
      <w:pPr>
        <w:pStyle w:val="BodyText"/>
      </w:pPr>
      <w:r>
        <w:t xml:space="preserve">The idea of Locus of control was first introduced</w:t>
      </w:r>
      <w:r>
        <w:t xml:space="preserve"> </w:t>
      </w:r>
      <w:r>
        <w:t xml:space="preserve">by (Rotter, 1966). He uses a two dimensional concept describing the</w:t>
      </w:r>
      <w:r>
        <w:t xml:space="preserve"> </w:t>
      </w:r>
      <w:r>
        <w:t xml:space="preserve">internal locus of control (What happens in my life depends on myself)</w:t>
      </w:r>
      <w:r>
        <w:t xml:space="preserve"> </w:t>
      </w:r>
      <w:r>
        <w:t xml:space="preserve">and the external locus of control (What happens in my life depends on</w:t>
      </w:r>
      <w:r>
        <w:t xml:space="preserve"> </w:t>
      </w:r>
      <w:r>
        <w:t xml:space="preserve">fate, luck and the actions of others).</w:t>
      </w:r>
    </w:p>
    <w:p>
      <w:pPr>
        <w:pStyle w:val="BodyText"/>
      </w:pPr>
      <w:r>
        <w:t xml:space="preserve">(Berger &amp; Haywood, 2016) use SOEP data to construct a one dimensional locus</w:t>
      </w:r>
      <w:r>
        <w:t xml:space="preserve"> </w:t>
      </w:r>
      <w:r>
        <w:t xml:space="preserve">of control score using five items of the question battery, namely</w:t>
      </w:r>
      <w:r>
        <w:t xml:space="preserve"> </w:t>
      </w:r>
      <w:r>
        <w:t xml:space="preserve">Question 1, 3, 5, 8  and 10. These items are chosen, because they</w:t>
      </w:r>
      <w:r>
        <w:t xml:space="preserve"> </w:t>
      </w:r>
      <w:r>
        <w:t xml:space="preserve">represent a trade off between internal and external locus of control.</w:t>
      </w:r>
      <w:r>
        <w:t xml:space="preserve"> </w:t>
      </w:r>
      <w:r>
        <w:t xml:space="preserve">They run a factor analysis to prove that there is one latent factor</w:t>
      </w:r>
      <w:r>
        <w:t xml:space="preserve"> </w:t>
      </w:r>
      <w:r>
        <w:t xml:space="preserve">behind these five items and to approve the algebraic sign of them. All</w:t>
      </w:r>
      <w:r>
        <w:t xml:space="preserve"> </w:t>
      </w:r>
      <w:r>
        <w:t xml:space="preserve">except the first are reversed and so a higher score indicates a higher</w:t>
      </w:r>
      <w:r>
        <w:t xml:space="preserve"> </w:t>
      </w:r>
      <w:r>
        <w:t xml:space="preserve">internal and a lower external locus of control. They compare their</w:t>
      </w:r>
      <w:r>
        <w:t xml:space="preserve"> </w:t>
      </w:r>
      <w:r>
        <w:t xml:space="preserve">concept to the ones of   (Pinger, Ruhmer-Krell, &amp; Schumacher, 2016) or  (Caliendo, Cobb-Clark, &amp; Uhlendorff, 2015) and</w:t>
      </w:r>
      <w:r>
        <w:t xml:space="preserve"> </w:t>
      </w:r>
      <w:r>
        <w:t xml:space="preserve">find no significant differences. For more detailed analysis and</w:t>
      </w:r>
      <w:r>
        <w:t xml:space="preserve"> </w:t>
      </w:r>
      <w:r>
        <w:t xml:space="preserve">arguments for choosing exactly these five and not more see the appendix</w:t>
      </w:r>
      <w:r>
        <w:t xml:space="preserve"> </w:t>
      </w:r>
      <w:r>
        <w:t xml:space="preserve">of (Berger &amp; Haywood, 2016). We again use the work of  (Cobb-Clark &amp; Schurer, 2012) </w:t>
      </w:r>
      <w:r>
        <w:t xml:space="preserve"> </w:t>
      </w:r>
      <w:r>
        <w:t xml:space="preserve">and (Elkins, Kassenboehmer, &amp; Schurer, 2017) to assume a consistency of 2 to 3 years.</w:t>
      </w:r>
    </w:p>
    <w:p>
      <w:pPr>
        <w:pStyle w:val="BodyText"/>
      </w:pPr>
      <w:r>
        <w:br w:type="textWrapping"/>
      </w:r>
      <w:r>
        <w:rPr>
          <w:b/>
        </w:rPr>
        <w:t xml:space="preserve">Willingness to take Risk</w:t>
      </w:r>
    </w:p>
    <w:p>
      <w:pPr>
        <w:pStyle w:val="BodyText"/>
      </w:pPr>
      <w:r>
        <w:br w:type="textWrapping"/>
      </w:r>
      <w:r>
        <w:br w:type="textWrapping"/>
      </w:r>
      <w:r>
        <w:br w:type="textWrapping"/>
      </w:r>
    </w:p>
    <w:p>
      <w:pPr>
        <w:pStyle w:val="Heading2"/>
      </w:pPr>
      <w:bookmarkStart w:id="26" w:name="identification"/>
      <w:bookmarkEnd w:id="26"/>
      <w:r>
        <w:t xml:space="preserve">Identification </w:t>
      </w:r>
    </w:p>
    <w:p>
      <w:pPr>
        <w:pStyle w:val="FirstParagraph"/>
      </w:pPr>
      <w:r>
        <w:t xml:space="preserve">The main problem we were facing during our analysis was that there is no</w:t>
      </w:r>
      <w:r>
        <w:t xml:space="preserve"> </w:t>
      </w:r>
      <w:r>
        <w:t xml:space="preserve">generated variable that could work as a proxy for our topic of interest</w:t>
      </w:r>
      <w:r>
        <w:t xml:space="preserve"> </w:t>
      </w:r>
      <w:r>
        <w:t xml:space="preserve">in the SOEP.  Therefore we developed the following strategy to identify,</w:t>
      </w:r>
      <w:r>
        <w:t xml:space="preserve"> </w:t>
      </w:r>
      <w:r>
        <w:t xml:space="preserve">if an individual had left his or her parental household during tertiary</w:t>
      </w:r>
      <w:r>
        <w:t xml:space="preserve"> </w:t>
      </w:r>
      <w:r>
        <w:t xml:space="preserve">education,  based on the observation of the individual’s household</w:t>
      </w:r>
      <w:r>
        <w:t xml:space="preserve"> </w:t>
      </w:r>
      <w:r>
        <w:t xml:space="preserve">identifier.</w:t>
      </w:r>
    </w:p>
    <w:p>
      <w:pPr>
        <w:pStyle w:val="BodyText"/>
      </w:pPr>
      <w:r>
        <w:t xml:space="preserve">We start by filtering all individual who obtained tertiary education</w:t>
      </w:r>
      <w:r>
        <w:t xml:space="preserve"> </w:t>
      </w:r>
      <w:r>
        <w:t xml:space="preserve">from the bio-education data set provided in the SOEP core data.  In the</w:t>
      </w:r>
      <w:r>
        <w:t xml:space="preserve"> </w:t>
      </w:r>
      <w:r>
        <w:t xml:space="preserve">next step we restrict the data set to individuals for who we know when</w:t>
      </w:r>
      <w:r>
        <w:t xml:space="preserve"> </w:t>
      </w:r>
      <w:r>
        <w:t xml:space="preserve">they graduated from university. This reduces the number of individuals</w:t>
      </w:r>
      <w:r>
        <w:t xml:space="preserve"> </w:t>
      </w:r>
      <w:r>
        <w:t xml:space="preserve">from 12877  to only  2511.  </w:t>
      </w:r>
    </w:p>
    <w:p>
      <w:pPr>
        <w:pStyle w:val="BodyText"/>
      </w:pPr>
      <w:r>
        <w:t xml:space="preserve">Further we had to ensure that we observed individuals before they</w:t>
      </w:r>
      <w:r>
        <w:t xml:space="preserve"> </w:t>
      </w:r>
      <w:r>
        <w:t xml:space="preserve">decided to leave their parental households. Not only because we want to</w:t>
      </w:r>
      <w:r>
        <w:t xml:space="preserve"> </w:t>
      </w:r>
      <w:r>
        <w:t xml:space="preserve">integrate different covariates based on the parental characteristics but</w:t>
      </w:r>
      <w:r>
        <w:t xml:space="preserve"> </w:t>
      </w:r>
      <w:r>
        <w:t xml:space="preserve">also to ensure it is possible to identify the year of leaving. We did</w:t>
      </w:r>
      <w:r>
        <w:t xml:space="preserve"> </w:t>
      </w:r>
      <w:r>
        <w:t xml:space="preserve">this by restricting the sample again based on</w:t>
      </w:r>
      <w:r>
        <w:t xml:space="preserve"> </w:t>
      </w:r>
      <w:r>
        <w:t xml:space="preserve">the </w:t>
      </w:r>
      <w:r>
        <w:rPr>
          <w:b/>
          <w:i/>
        </w:rPr>
        <w:t xml:space="preserve">$stell</w:t>
      </w:r>
      <w:r>
        <w:rPr>
          <w:b/>
        </w:rPr>
        <w:t xml:space="preserve">  </w:t>
      </w:r>
      <w:r>
        <w:t xml:space="preserve">variable that provides information</w:t>
      </w:r>
      <w:r>
        <w:t xml:space="preserve"> </w:t>
      </w:r>
      <w:r>
        <w:t xml:space="preserve">about the relationship to the head of household.  We keep only</w:t>
      </w:r>
      <w:r>
        <w:t xml:space="preserve"> </w:t>
      </w:r>
      <w:r>
        <w:t xml:space="preserve">individuals who we observe as children in their original household</w:t>
      </w:r>
      <w:r>
        <w:t xml:space="preserve"> </w:t>
      </w:r>
      <w:r>
        <w:t xml:space="preserve"> before they graduated.  This leads to a additional decrease so that we</w:t>
      </w:r>
      <w:r>
        <w:t xml:space="preserve"> </w:t>
      </w:r>
      <w:r>
        <w:t xml:space="preserve">remain with 1363 individuals.</w:t>
      </w:r>
    </w:p>
    <w:p>
      <w:pPr>
        <w:pStyle w:val="BodyText"/>
      </w:pPr>
      <w:r>
        <w:t xml:space="preserve">Lastly we created  a dummy that indicates whether an individual left his</w:t>
      </w:r>
      <w:r>
        <w:t xml:space="preserve"> </w:t>
      </w:r>
      <w:r>
        <w:t xml:space="preserve">or her parental household by comparing the original household number of</w:t>
      </w:r>
      <w:r>
        <w:t xml:space="preserve"> </w:t>
      </w:r>
      <w:r>
        <w:t xml:space="preserve">the individual with the  wave specific household identifier</w:t>
      </w:r>
      <w:r>
        <w:t xml:space="preserve"> </w:t>
      </w:r>
      <w:r>
        <w:t xml:space="preserve">(</w:t>
      </w:r>
      <w:r>
        <w:rPr>
          <w:b/>
          <w:i/>
        </w:rPr>
        <w:t xml:space="preserve">hhnrakt</w:t>
      </w:r>
      <w:r>
        <w:t xml:space="preserve">) in every year until his or her</w:t>
      </w:r>
      <w:r>
        <w:t xml:space="preserve"> </w:t>
      </w:r>
      <w:r>
        <w:t xml:space="preserve">graduation./last year observed in tertiary education  We found that from</w:t>
      </w:r>
      <w:r>
        <w:t xml:space="preserve"> </w:t>
      </w:r>
      <w:r>
        <w:t xml:space="preserve">the 1363 individuals 592 stated to left their parental household during</w:t>
      </w:r>
      <w:r>
        <w:t xml:space="preserve"> </w:t>
      </w:r>
      <w:r>
        <w:t xml:space="preserve">their tertiary education. </w:t>
      </w:r>
    </w:p>
    <w:p>
      <w:pPr>
        <w:pStyle w:val="BodyText"/>
      </w:pPr>
      <w:r>
        <w:t xml:space="preserve">SOME WORDS ABOUTS BIAS</w:t>
      </w:r>
    </w:p>
    <w:p>
      <w:pPr>
        <w:pStyle w:val="Heading1"/>
      </w:pPr>
      <w:bookmarkStart w:id="27" w:name="descriptive-statistics"/>
      <w:bookmarkEnd w:id="27"/>
      <w:r>
        <w:t xml:space="preserve">Descriptive Statistics</w:t>
      </w:r>
    </w:p>
    <w:p>
      <w:pPr>
        <w:pStyle w:val="FirstParagraph"/>
      </w:pPr>
      <w:r>
        <w:t xml:space="preserve">Choice regression:</w:t>
      </w:r>
    </w:p>
    <w:p>
      <w:pPr>
        <w:pStyle w:val="BodyText"/>
      </w:pPr>
      <w:r>
        <w:t xml:space="preserve">Covariates:</w:t>
      </w:r>
    </w:p>
    <w:p>
      <w:pPr>
        <w:pStyle w:val="BodyText"/>
      </w:pPr>
      <w:r>
        <w:t xml:space="preserve">·         Gender: (Billari, Philipov, &amp; Baiz</w:t>
      </w:r>
      <w:r>
        <w:t xml:space="preserve">á</w:t>
      </w:r>
      <w:r>
        <w:t xml:space="preserve">n, 2001) show the woman move out earlier</w:t>
      </w:r>
      <w:r>
        <w:t xml:space="preserve"> </w:t>
      </w:r>
      <w:r>
        <w:t xml:space="preserve">than men accross european countries</w:t>
      </w:r>
    </w:p>
    <w:p>
      <w:pPr>
        <w:pStyle w:val="BodyText"/>
      </w:pPr>
      <w:r>
        <w:t xml:space="preserve">·         Parents_Edu: It is clear that a higher family income</w:t>
      </w:r>
      <w:r>
        <w:t xml:space="preserve"> </w:t>
      </w:r>
      <w:r>
        <w:t xml:space="preserve">generates a better possibility to move out   (Aassve, Billari, Mazzuco, &amp; Ongaro, 2002)  </w:t>
      </w:r>
    </w:p>
    <w:p>
      <w:pPr>
        <w:pStyle w:val="BodyText"/>
      </w:pPr>
      <w:r>
        <w:t xml:space="preserve">·         Mig_back: Familys with migration background, maybe stick more</w:t>
      </w:r>
      <w:r>
        <w:t xml:space="preserve"> </w:t>
      </w:r>
      <w:r>
        <w:t xml:space="preserve">together</w:t>
      </w:r>
    </w:p>
    <w:p>
      <w:pPr>
        <w:pStyle w:val="BodyText"/>
      </w:pPr>
      <w:r>
        <w:t xml:space="preserve">·         Personality traits, closest year to moving out</w:t>
      </w:r>
      <w:r>
        <w:t xml:space="preserve"> </w:t>
      </w:r>
      <w:r>
        <w:t xml:space="preserve">(Cobb-Clark &amp; Schurer, 2011; Elkins, Kassenboehmer, &amp; Schurer, 2017)</w:t>
      </w:r>
    </w:p>
    <w:p>
      <w:pPr>
        <w:pStyle w:val="BodyText"/>
      </w:pPr>
      <w:r>
        <w:t xml:space="preserve">·         Cognitive skills</w:t>
      </w:r>
    </w:p>
    <w:p>
      <w:pPr>
        <w:pStyle w:val="BodyText"/>
      </w:pPr>
      <w:r>
        <w:t xml:space="preserve">·         Locus of Control: max 2 year to moving out, as locus Is only</w:t>
      </w:r>
      <w:r>
        <w:t xml:space="preserve"> </w:t>
      </w:r>
      <w:r>
        <w:t xml:space="preserve">intertemporal stable</w:t>
      </w:r>
    </w:p>
    <w:p>
      <w:pPr>
        <w:pStyle w:val="BodyText"/>
      </w:pPr>
      <w:r>
        <w:t xml:space="preserve">·         Risk aversion</w:t>
      </w:r>
    </w:p>
    <w:p>
      <w:pPr>
        <w:pStyle w:val="BodyText"/>
      </w:pPr>
      <w:r>
        <w:t xml:space="preserve"> </w:t>
      </w:r>
    </w:p>
    <w:p>
      <w:pPr>
        <w:pStyle w:val="BodyText"/>
      </w:pPr>
      <w:r>
        <w:t xml:space="preserve">Wage regression:</w:t>
      </w:r>
    </w:p>
    <w:p>
      <w:pPr>
        <w:pStyle w:val="BodyText"/>
      </w:pPr>
      <w:r>
        <w:t xml:space="preserve">                Cross section with Mincer regression for the year 2015.</w:t>
      </w:r>
    </w:p>
    <w:p>
      <w:pPr>
        <w:pStyle w:val="BodyText"/>
      </w:pPr>
      <w:r>
        <w:t xml:space="preserve">                Panel Regression with Mincer Regression</w:t>
      </w:r>
    </w:p>
    <w:p>
      <w:pPr>
        <w:numPr>
          <w:numId w:val="1001"/>
          <w:ilvl w:val="0"/>
        </w:numPr>
      </w:pPr>
      <w:r>
        <w:t xml:space="preserve">Fixed effects regression</w:t>
      </w:r>
    </w:p>
    <w:p>
      <w:pPr>
        <w:numPr>
          <w:numId w:val="1001"/>
          <w:ilvl w:val="0"/>
        </w:numPr>
      </w:pPr>
      <w:r>
        <w:t xml:space="preserve">Random effects regression</w:t>
      </w:r>
    </w:p>
    <w:p>
      <w:pPr>
        <w:numPr>
          <w:numId w:val="1001"/>
          <w:ilvl w:val="0"/>
        </w:numPr>
      </w:pPr>
      <w:r>
        <w:t xml:space="preserve">PooledOLS regression</w:t>
      </w:r>
    </w:p>
    <w:p>
      <w:pPr>
        <w:pStyle w:val="FirstParagraph"/>
      </w:pPr>
      <w:r>
        <w:t xml:space="preserve"> </w:t>
      </w:r>
    </w:p>
    <w:p>
      <w:pPr>
        <w:pStyle w:val="BodyText"/>
      </w:pPr>
      <w:r>
        <w:t xml:space="preserve">Closer look at impact of moving out:</w:t>
      </w:r>
    </w:p>
    <w:p>
      <w:pPr>
        <w:pStyle w:val="BodyText"/>
      </w:pPr>
      <w:r>
        <w:t xml:space="preserve">Effect on first full time labour income after graduating</w:t>
      </w:r>
    </w:p>
    <w:p>
      <w:pPr>
        <w:pStyle w:val="BodyText"/>
      </w:pPr>
      <w:r>
        <w:t xml:space="preserve">(Feingold, 1994)(Heckman, Stixrud, &amp; Urzua, 2006)</w:t>
      </w:r>
    </w:p>
    <w:p>
      <w:pPr>
        <w:pStyle w:val="Heading1"/>
      </w:pPr>
      <w:bookmarkStart w:id="28" w:name="results"/>
      <w:bookmarkEnd w:id="28"/>
      <w:r>
        <w:t xml:space="preserve">Results</w:t>
      </w:r>
    </w:p>
    <w:p>
      <w:pPr>
        <w:pStyle w:val="Heading2"/>
      </w:pPr>
      <w:bookmarkStart w:id="29" w:name="section"/>
      <w:bookmarkEnd w:id="29"/>
    </w:p>
    <w:p>
      <w:pPr>
        <w:pStyle w:val="Heading2"/>
      </w:pPr>
      <w:bookmarkStart w:id="30" w:name="decision"/>
      <w:bookmarkEnd w:id="30"/>
      <w:r>
        <w:t xml:space="preserve">Decision</w:t>
      </w:r>
    </w:p>
    <w:p>
      <w:pPr>
        <w:pStyle w:val="FirstParagraph"/>
      </w:pPr>
      <w:r>
        <w:t xml:space="preserve">For our analysis on the decision we restricted our sample to individuals</w:t>
      </w:r>
      <w:r>
        <w:t xml:space="preserve"> </w:t>
      </w:r>
      <w:r>
        <w:t xml:space="preserve">finishing studys at the age of 35 or younger. We argue that otherwise,</w:t>
      </w:r>
      <w:r>
        <w:t xml:space="preserve"> </w:t>
      </w:r>
      <w:r>
        <w:t xml:space="preserve">the condition to move out before finishing becomes otherwise irrelevant.</w:t>
      </w:r>
    </w:p>
    <w:p>
      <w:pPr>
        <w:pStyle w:val="BodyText"/>
      </w:pPr>
      <w:r>
        <w:t xml:space="preserve">A very intuitive and obvious result is the age of completing education.</w:t>
      </w:r>
      <w:r>
        <w:t xml:space="preserve"> </w:t>
      </w:r>
      <w:r>
        <w:t xml:space="preserve">The later young adults complete tertiary education the higher propensity</w:t>
      </w:r>
      <w:r>
        <w:t xml:space="preserve"> </w:t>
      </w:r>
      <w:r>
        <w:t xml:space="preserve">they show to not live at home at the time of graduation.</w:t>
      </w:r>
    </w:p>
    <w:p>
      <w:pPr>
        <w:pStyle w:val="BodyText"/>
      </w:pPr>
      <w:r>
        <w:t xml:space="preserve">Also we observe trends as they were described in the mentioned</w:t>
      </w:r>
      <w:r>
        <w:t xml:space="preserve"> </w:t>
      </w:r>
      <w:r>
        <w:t xml:space="preserve">literature about patterns appearing across all countries. Throughout all</w:t>
      </w:r>
      <w:r>
        <w:t xml:space="preserve"> </w:t>
      </w:r>
      <w:r>
        <w:t xml:space="preserve">sample sizes and after controlling for all possible covariates we find a</w:t>
      </w:r>
      <w:r>
        <w:t xml:space="preserve"> </w:t>
      </w:r>
      <w:r>
        <w:t xml:space="preserve">significant impact of the birth year for people born after 1979. For</w:t>
      </w:r>
      <w:r>
        <w:t xml:space="preserve"> </w:t>
      </w:r>
      <w:r>
        <w:t xml:space="preserve">children born in the nineties this impact gets even larger, stays highly</w:t>
      </w:r>
      <w:r>
        <w:t xml:space="preserve"> </w:t>
      </w:r>
      <w:r>
        <w:t xml:space="preserve">significant and is completely in line with the trends in recent history</w:t>
      </w:r>
      <w:r>
        <w:t xml:space="preserve"> </w:t>
      </w:r>
      <w:r>
        <w:t xml:space="preserve">described in  (Holdsworth, 2000). </w:t>
      </w:r>
    </w:p>
    <w:p>
      <w:pPr>
        <w:pStyle w:val="BodyText"/>
      </w:pPr>
      <w:r>
        <w:t xml:space="preserve">The gender variable has throughout all regressions a positive effect on</w:t>
      </w:r>
      <w:r>
        <w:t xml:space="preserve"> </w:t>
      </w:r>
      <w:r>
        <w:t xml:space="preserve">the probability. This is in line with the findings of (Billari, Philipov, &amp; Baiz</w:t>
      </w:r>
      <w:r>
        <w:t xml:space="preserve">á</w:t>
      </w:r>
      <w:r>
        <w:t xml:space="preserve">n, 2001)</w:t>
      </w:r>
      <w:r>
        <w:t xml:space="preserve"> </w:t>
      </w:r>
      <w:r>
        <w:t xml:space="preserve">across all European countries.  The insignificance is due to the</w:t>
      </w:r>
      <w:r>
        <w:t xml:space="preserve"> </w:t>
      </w:r>
      <w:r>
        <w:t xml:space="preserve">correlation of gender with personality traits, which will be discussed</w:t>
      </w:r>
      <w:r>
        <w:t xml:space="preserve"> </w:t>
      </w:r>
      <w:r>
        <w:t xml:space="preserve">later.</w:t>
      </w:r>
    </w:p>
    <w:p>
      <w:pPr>
        <w:pStyle w:val="BodyText"/>
      </w:pPr>
      <w:r>
        <w:t xml:space="preserve">For the second regression, we include the social background of each</w:t>
      </w:r>
      <w:r>
        <w:t xml:space="preserve"> </w:t>
      </w:r>
      <w:r>
        <w:t xml:space="preserve">individual. This data is missing only for 78 individuals, so we only</w:t>
      </w:r>
      <w:r>
        <w:t xml:space="preserve"> </w:t>
      </w:r>
      <w:r>
        <w:t xml:space="preserve">face a minor reduction. The variables of the first regressions stay,</w:t>
      </w:r>
      <w:r>
        <w:t xml:space="preserve"> </w:t>
      </w:r>
      <w:r>
        <w:t xml:space="preserve">while the only one of significant effect added is the education of the</w:t>
      </w:r>
      <w:r>
        <w:t xml:space="preserve"> </w:t>
      </w:r>
      <w:r>
        <w:t xml:space="preserve">mother. It stays significant except of one regression, which we not</w:t>
      </w:r>
      <w:r>
        <w:t xml:space="preserve"> </w:t>
      </w:r>
      <w:r>
        <w:t xml:space="preserve">gonna grant any further interpretation. </w:t>
      </w:r>
    </w:p>
    <w:p>
      <w:pPr>
        <w:pStyle w:val="BodyText"/>
      </w:pPr>
      <w:r>
        <w:br w:type="textWrapping"/>
      </w:r>
      <w:r>
        <w:t xml:space="preserve">As Locus of Control, Willingness to take Risk and the Big Five were</w:t>
      </w:r>
      <w:r>
        <w:t xml:space="preserve"> </w:t>
      </w:r>
      <w:r>
        <w:t xml:space="preserve">first measured in the 2000s we exclude the seventies dummy variable for</w:t>
      </w:r>
      <w:r>
        <w:t xml:space="preserve"> </w:t>
      </w:r>
      <w:r>
        <w:t xml:space="preserve">these regressions, because none of the students at time of measuring was</w:t>
      </w:r>
      <w:r>
        <w:t xml:space="preserve"> </w:t>
      </w:r>
      <w:r>
        <w:t xml:space="preserve">born before 1970.  Otherwise we would our analysis would suffer a dummy</w:t>
      </w:r>
      <w:r>
        <w:t xml:space="preserve"> </w:t>
      </w:r>
      <w:r>
        <w:t xml:space="preserve">variable bias. Furthermore our sample consists after including the big</w:t>
      </w:r>
      <w:r>
        <w:t xml:space="preserve"> </w:t>
      </w:r>
      <w:r>
        <w:t xml:space="preserve">five of less than half of the original sample. Including locus of</w:t>
      </w:r>
      <w:r>
        <w:t xml:space="preserve"> </w:t>
      </w:r>
      <w:r>
        <w:t xml:space="preserve">control and willingness to take risk we end up with minimum sample size</w:t>
      </w:r>
      <w:r>
        <w:t xml:space="preserve"> </w:t>
      </w:r>
      <w:r>
        <w:t xml:space="preserve">of 485 individuals. Due to this restriction our further interpretations</w:t>
      </w:r>
      <w:r>
        <w:t xml:space="preserve"> </w:t>
      </w:r>
      <w:r>
        <w:t xml:space="preserve">have to be considered with caution. To interpret the interplay and</w:t>
      </w:r>
      <w:r>
        <w:t xml:space="preserve"> </w:t>
      </w:r>
      <w:r>
        <w:t xml:space="preserve">effect of the non-cognitive skills we discuss them using all the</w:t>
      </w:r>
      <w:r>
        <w:t xml:space="preserve"> </w:t>
      </w:r>
      <w:r>
        <w:t xml:space="preserve">regression they are included. Due to the questioning the treatment and</w:t>
      </w:r>
      <w:r>
        <w:t xml:space="preserve"> </w:t>
      </w:r>
      <w:r>
        <w:t xml:space="preserve">control group only consists of individuals finishing tertiary education.</w:t>
      </w:r>
      <w:r>
        <w:t xml:space="preserve"> </w:t>
      </w:r>
      <w:r>
        <w:t xml:space="preserve">As non-cognitive skills play a major role in education</w:t>
      </w:r>
      <w:r>
        <w:t xml:space="preserve"> </w:t>
      </w:r>
      <w:r>
        <w:t xml:space="preserve">decisions (Heckman, Stixrud, &amp; Urzua, 2006) our individuals have a small variance in</w:t>
      </w:r>
      <w:r>
        <w:t xml:space="preserve"> </w:t>
      </w:r>
      <w:r>
        <w:t xml:space="preserve">their skills. Therefore the interplay between skills have a major impact</w:t>
      </w:r>
      <w:r>
        <w:t xml:space="preserve"> </w:t>
      </w:r>
      <w:r>
        <w:t xml:space="preserve">in the significance of variables like household income and gender</w:t>
      </w:r>
      <w:r>
        <w:t xml:space="preserve"> </w:t>
      </w:r>
      <w:r>
        <w:t xml:space="preserve">depending on the regressions analysed. The literature states a gender</w:t>
      </w:r>
      <w:r>
        <w:t xml:space="preserve"> </w:t>
      </w:r>
      <w:r>
        <w:t xml:space="preserve">gap in the  big five (Weisberg, DeYoung, &amp; Hirsh, 2011), in locus of</w:t>
      </w:r>
      <w:r>
        <w:t xml:space="preserve"> </w:t>
      </w:r>
      <w:r>
        <w:t xml:space="preserve">control (Feingold, 1994) and in willingness to take risk (Dohmen).</w:t>
      </w:r>
      <w:r>
        <w:t xml:space="preserve"> </w:t>
      </w:r>
      <w:r>
        <w:t xml:space="preserve">Therefore the gender dummy gets only significant in the last regression,</w:t>
      </w:r>
      <w:r>
        <w:t xml:space="preserve"> </w:t>
      </w:r>
      <w:r>
        <w:t xml:space="preserve">where the most skills are included and thus the most variance is</w:t>
      </w:r>
      <w:r>
        <w:t xml:space="preserve"> </w:t>
      </w:r>
      <w:r>
        <w:t xml:space="preserve">explained. In this regression the household income is positively</w:t>
      </w:r>
      <w:r>
        <w:t xml:space="preserve"> </w:t>
      </w:r>
      <w:r>
        <w:t xml:space="preserve">significant, which is in line with (Laferrere, 2004). The migration</w:t>
      </w:r>
      <w:r>
        <w:t xml:space="preserve"> </w:t>
      </w:r>
      <w:r>
        <w:t xml:space="preserve">background which has a negative effect through all regressions, also</w:t>
      </w:r>
      <w:r>
        <w:t xml:space="preserve"> </w:t>
      </w:r>
      <w:r>
        <w:t xml:space="preserve">reaches almost a significant level, which matches the insights</w:t>
      </w:r>
      <w:r>
        <w:t xml:space="preserve"> </w:t>
      </w:r>
      <w:r>
        <w:t xml:space="preserve">of (Jeong, Hamplov</w:t>
      </w:r>
      <w:r>
        <w:t xml:space="preserve">á</w:t>
      </w:r>
      <w:r>
        <w:t xml:space="preserve">, &amp; Bourdais, 2013).</w:t>
      </w:r>
    </w:p>
    <w:p>
      <w:pPr>
        <w:pStyle w:val="BodyText"/>
      </w:pPr>
      <w:r>
        <w:t xml:space="preserve">The only facet of the big five driving significant the decision to move</w:t>
      </w:r>
      <w:r>
        <w:t xml:space="preserve"> </w:t>
      </w:r>
      <w:r>
        <w:t xml:space="preserve">out is Agreeableness. Again this only becomes significant, after</w:t>
      </w:r>
      <w:r>
        <w:t xml:space="preserve"> </w:t>
      </w:r>
      <w:r>
        <w:t xml:space="preserve">including all explanatory variables, which are able for us to control</w:t>
      </w:r>
      <w:r>
        <w:t xml:space="preserve"> </w:t>
      </w:r>
      <w:r>
        <w:t xml:space="preserve">for. This result seems to be intuitive, as a high score indicates a</w:t>
      </w:r>
      <w:r>
        <w:t xml:space="preserve"> </w:t>
      </w:r>
      <w:r>
        <w:t xml:space="preserve">social compatibility, which is key to adapt in new living arrangements.</w:t>
      </w:r>
    </w:p>
    <w:p>
      <w:pPr>
        <w:pStyle w:val="BodyText"/>
      </w:pPr>
      <w:r>
        <w:br w:type="textWrapping"/>
      </w:r>
    </w:p>
    <w:p>
      <w:pPr>
        <w:pStyle w:val="Heading2"/>
      </w:pPr>
      <w:bookmarkStart w:id="31" w:name="wage-regression"/>
      <w:bookmarkEnd w:id="31"/>
      <w:r>
        <w:t xml:space="preserve">Wage Regression</w:t>
      </w:r>
    </w:p>
    <w:p>
      <w:pPr>
        <w:pStyle w:val="FirstParagraph"/>
      </w:pPr>
      <w:r>
        <w:t xml:space="preserve">We run several cross-section and panel regressions in order to see if</w:t>
      </w:r>
      <w:r>
        <w:t xml:space="preserve"> </w:t>
      </w:r>
      <w:r>
        <w:t xml:space="preserve">leaving your parental household during tertiary education influences an</w:t>
      </w:r>
      <w:r>
        <w:t xml:space="preserve"> </w:t>
      </w:r>
      <w:r>
        <w:t xml:space="preserve">individual’s earning .  In both settings we start with a standard</w:t>
      </w:r>
      <w:r>
        <w:t xml:space="preserve"> </w:t>
      </w:r>
      <w:r>
        <w:t xml:space="preserve">Mincer-regression in which we include our decision</w:t>
      </w:r>
      <w:r>
        <w:t xml:space="preserve"> </w:t>
      </w:r>
      <w:r>
        <w:t xml:space="preserve">dummy (Mincer, 1974; Mincer, 1958). Subsequently we augment the standard</w:t>
      </w:r>
      <w:r>
        <w:t xml:space="preserve"> </w:t>
      </w:r>
      <w:r>
        <w:t xml:space="preserve">regression with measures for cognitive and non cognitive skills. </w:t>
      </w:r>
    </w:p>
    <w:p>
      <w:pPr>
        <w:pStyle w:val="Heading3"/>
      </w:pPr>
      <w:bookmarkStart w:id="32" w:name="cross-section"/>
      <w:bookmarkEnd w:id="32"/>
      <w:r>
        <w:t xml:space="preserve">Cross Section</w:t>
      </w:r>
    </w:p>
    <w:p>
      <w:pPr>
        <w:pStyle w:val="FirstParagraph"/>
      </w:pPr>
      <w:r>
        <w:t xml:space="preserve">With exception of the first column we include several control variables</w:t>
      </w:r>
      <w:r>
        <w:t xml:space="preserve"> </w:t>
      </w:r>
      <w:r>
        <w:t xml:space="preserve">like the state of residence, social background information and</w:t>
      </w:r>
      <w:r>
        <w:t xml:space="preserve"> </w:t>
      </w:r>
      <w:r>
        <w:t xml:space="preserve"> information regarding the field in which the individual is employed.</w:t>
      </w:r>
    </w:p>
    <w:p>
      <w:pPr>
        <w:pStyle w:val="BodyText"/>
      </w:pPr>
      <w:r>
        <w:t xml:space="preserve">As expected the standard mincer factors, years of education, experience</w:t>
      </w:r>
      <w:r>
        <w:t xml:space="preserve"> </w:t>
      </w:r>
      <w:r>
        <w:t xml:space="preserve">and squared experience have sigvaficant effects throughout every of our</w:t>
      </w:r>
      <w:r>
        <w:t xml:space="preserve"> </w:t>
      </w:r>
      <w:r>
        <w:t xml:space="preserve">regressions. This is conform with the impressive importance of the</w:t>
      </w:r>
      <w:r>
        <w:t xml:space="preserve"> </w:t>
      </w:r>
      <w:r>
        <w:t xml:space="preserve">mincer equation in the human capital literature (Heckman, Lochner, &amp; Todd, 2003) .</w:t>
      </w:r>
      <w:r>
        <w:t xml:space="preserve"> </w:t>
      </w:r>
      <w:r>
        <w:t xml:space="preserve">Even our decision dummy shows positive significance on the 10% level in</w:t>
      </w:r>
      <w:r>
        <w:t xml:space="preserve"> </w:t>
      </w:r>
      <w:r>
        <w:t xml:space="preserve">the first expansion of the standard mincer regression framework.</w:t>
      </w:r>
      <w:r>
        <w:t xml:space="preserve"> </w:t>
      </w:r>
      <w:r>
        <w:t xml:space="preserve">Unfortunately this effect vanishes as soon as we include the control</w:t>
      </w:r>
      <w:r>
        <w:t xml:space="preserve"> </w:t>
      </w:r>
      <w:r>
        <w:t xml:space="preserve">variables. We suppose that two main reasons drive this results.</w:t>
      </w:r>
    </w:p>
    <w:p>
      <w:pPr>
        <w:pStyle w:val="BodyText"/>
      </w:pPr>
      <w:r>
        <w:t xml:space="preserve">Firstly there is a selection bias because the decision to leave the</w:t>
      </w:r>
      <w:r>
        <w:t xml:space="preserve"> </w:t>
      </w:r>
      <w:r>
        <w:t xml:space="preserve">parental household is associated with a following up process by the</w:t>
      </w:r>
      <w:r>
        <w:t xml:space="preserve"> </w:t>
      </w:r>
      <w:r>
        <w:t xml:space="preserve">GSOEP.  This makes it potentially more unlikely for a concerned</w:t>
      </w:r>
      <w:r>
        <w:t xml:space="preserve"> </w:t>
      </w:r>
      <w:r>
        <w:t xml:space="preserve">individual to stay in the GSOEP compared to an individual that haven’t</w:t>
      </w:r>
      <w:r>
        <w:t xml:space="preserve"> </w:t>
      </w:r>
      <w:r>
        <w:t xml:space="preserve">left his/her parental household.  Following this argument there could be</w:t>
      </w:r>
      <w:r>
        <w:t xml:space="preserve"> </w:t>
      </w:r>
      <w:r>
        <w:t xml:space="preserve">a smaller share of individuals in the GSOEP that correspond to our topic</w:t>
      </w:r>
      <w:r>
        <w:t xml:space="preserve"> </w:t>
      </w:r>
      <w:r>
        <w:t xml:space="preserve">of interest so that the sample in itself is biased.</w:t>
      </w:r>
    </w:p>
    <w:p>
      <w:pPr>
        <w:pStyle w:val="BodyText"/>
      </w:pPr>
      <w:r>
        <w:t xml:space="preserve">Secondly there is an identification bias. As written in chapter 4, we</w:t>
      </w:r>
      <w:r>
        <w:t xml:space="preserve"> </w:t>
      </w:r>
      <w:r>
        <w:t xml:space="preserve">could only identify for a round about 10 percent of  all individuals who</w:t>
      </w:r>
      <w:r>
        <w:t xml:space="preserve"> </w:t>
      </w:r>
      <w:r>
        <w:t xml:space="preserve">obtained tertiary education whether they left their parental household</w:t>
      </w:r>
      <w:r>
        <w:t xml:space="preserve"> </w:t>
      </w:r>
      <w:r>
        <w:t xml:space="preserve">or not. This is mostly because of the fragmentary data from the bioedu</w:t>
      </w:r>
      <w:r>
        <w:t xml:space="preserve"> </w:t>
      </w:r>
      <w:r>
        <w:t xml:space="preserve">data set. Therefore it seems to be likely that our dummy variable is</w:t>
      </w:r>
      <w:r>
        <w:t xml:space="preserve"> </w:t>
      </w:r>
      <w:r>
        <w:t xml:space="preserve">biased.</w:t>
      </w:r>
    </w:p>
    <w:p>
      <w:pPr>
        <w:pStyle w:val="BodyText"/>
      </w:pPr>
      <w:r>
        <w:t xml:space="preserve">Additionally both biases could be an explanation for the extreme</w:t>
      </w:r>
      <w:r>
        <w:t xml:space="preserve"> </w:t>
      </w:r>
      <w:r>
        <w:t xml:space="preserve">reduction of the identification group from 1363 to  347 individuals  in</w:t>
      </w:r>
      <w:r>
        <w:t xml:space="preserve"> </w:t>
      </w:r>
      <w:r>
        <w:t xml:space="preserve">the 2015 wave. </w:t>
      </w:r>
    </w:p>
    <w:p>
      <w:pPr>
        <w:pStyle w:val="BodyText"/>
      </w:pPr>
      <w:r>
        <w:t xml:space="preserve">The results regarding the personality traits summarized by the big fives</w:t>
      </w:r>
      <w:r>
        <w:t xml:space="preserve"> </w:t>
      </w:r>
      <w:r>
        <w:t xml:space="preserve">are ambigious. Only the coefficients for agreeableness and neuroticism</w:t>
      </w:r>
      <w:r>
        <w:t xml:space="preserve"> </w:t>
      </w:r>
      <w:r>
        <w:t xml:space="preserve">are significant on the 5% level through all regressions in which the</w:t>
      </w:r>
      <w:r>
        <w:t xml:space="preserve"> </w:t>
      </w:r>
      <w:r>
        <w:t xml:space="preserve">big fives are included. We find a negative impact on wages for both</w:t>
      </w:r>
      <w:r>
        <w:t xml:space="preserve"> </w:t>
      </w:r>
      <w:r>
        <w:t xml:space="preserve">factors.  An increase of one standard deviation in agreeableness and</w:t>
      </w:r>
      <w:r>
        <w:t xml:space="preserve"> </w:t>
      </w:r>
      <w:r>
        <w:t xml:space="preserve">neuroticism leads to an decrease in wages of  3%, respectively 2.8%</w:t>
      </w:r>
      <w:r>
        <w:t xml:space="preserve"> </w:t>
      </w:r>
      <w:r>
        <w:t xml:space="preserve">(see Table columns). This seems to be conform with the previous</w:t>
      </w:r>
      <w:r>
        <w:t xml:space="preserve"> </w:t>
      </w:r>
      <w:r>
        <w:t xml:space="preserve">literature’s results.  So the reverse of Neuroticism, emotionally</w:t>
      </w:r>
      <w:r>
        <w:t xml:space="preserve"> </w:t>
      </w:r>
      <w:r>
        <w:t xml:space="preserve">stability has a positive impact on wages in   (Heineck, 2011; Judge, Higgins, Thoresen, &amp; Barrick, 1999; Mueller &amp; Plug, 2006; Nyhus &amp; Pons, 2005) and</w:t>
      </w:r>
      <w:r>
        <w:t xml:space="preserve"> </w:t>
      </w:r>
      <w:r>
        <w:t xml:space="preserve"> (Boudreau, Boswell, &amp; Judge, 2001)., whereas agreeableness is associated with negative</w:t>
      </w:r>
      <w:r>
        <w:t xml:space="preserve"> </w:t>
      </w:r>
      <w:r>
        <w:t xml:space="preserve">impact on wages in  (Mueller &amp; Plug, 2006; Boudreau, Boswell, &amp; Judge, 2001) and (Heineck &amp; Anger, 2010).</w:t>
      </w:r>
      <w:r>
        <w:t xml:space="preserve"> </w:t>
      </w:r>
      <w:r>
        <w:t xml:space="preserve"> Additionally   Conscientiousness is significant at the 10% level in</w:t>
      </w:r>
      <w:r>
        <w:t xml:space="preserve"> </w:t>
      </w:r>
      <w:r>
        <w:t xml:space="preserve">the regression where we expand the mincer framework with the big five</w:t>
      </w:r>
      <w:r>
        <w:t xml:space="preserve"> </w:t>
      </w:r>
      <w:r>
        <w:t xml:space="preserve">factors, even when we add the control variables. However</w:t>
      </w:r>
      <w:r>
        <w:t xml:space="preserve"> </w:t>
      </w:r>
      <w:r>
        <w:t xml:space="preserve">Conscientiousness becomes unsignificant as soon as we integrate more</w:t>
      </w:r>
      <w:r>
        <w:t xml:space="preserve"> </w:t>
      </w:r>
      <w:r>
        <w:t xml:space="preserve">personality related variables like locus of control or risk to our</w:t>
      </w:r>
      <w:r>
        <w:t xml:space="preserve"> </w:t>
      </w:r>
      <w:r>
        <w:t xml:space="preserve">regressions. We argue that the mixed results for the impact of Openness</w:t>
      </w:r>
      <w:r>
        <w:t xml:space="preserve"> </w:t>
      </w:r>
      <w:r>
        <w:t xml:space="preserve">on wages in the economic literature  allows to  more or less ignore the</w:t>
      </w:r>
      <w:r>
        <w:t xml:space="preserve"> </w:t>
      </w:r>
      <w:r>
        <w:t xml:space="preserve">unsignificance of Openness ( (Mueller &amp; Plug, 2006; O’Connell &amp; Sheikh, 2011; Heineck &amp; Anger, 2008; Heineck &amp; Anger, 2010; Heineck, 2011)).  Nonetheless our</w:t>
      </w:r>
      <w:r>
        <w:t xml:space="preserve"> </w:t>
      </w:r>
      <w:r>
        <w:t xml:space="preserve">results for Conscientiousness and Extraversion don’t coincide with</w:t>
      </w:r>
      <w:r>
        <w:t xml:space="preserve"> </w:t>
      </w:r>
      <w:r>
        <w:t xml:space="preserve">the</w:t>
      </w:r>
      <w:r>
        <w:rPr>
          <w:b/>
        </w:rPr>
        <w:t xml:space="preserve"> </w:t>
      </w:r>
      <w:r>
        <w:t xml:space="preserve">significant effects found for both factors</w:t>
      </w:r>
      <w:r>
        <w:t xml:space="preserve"> </w:t>
      </w:r>
      <w:r>
        <w:t xml:space="preserve">in (Heineck &amp; Anger, 2010) and (Judge, Higgins, Thoresen, &amp; Barrick, 1999) .</w:t>
      </w:r>
      <w:r>
        <w:t xml:space="preserve"> </w:t>
      </w:r>
      <w:r>
        <w:t xml:space="preserve">Only (Nyhus &amp; Pons, 2005) and (Heineck, 2011) state non significance</w:t>
      </w:r>
      <w:r>
        <w:t xml:space="preserve"> </w:t>
      </w:r>
      <w:r>
        <w:t xml:space="preserve">for  Conscientiousness respectively  Extraversion. We suggest that this</w:t>
      </w:r>
      <w:r>
        <w:t xml:space="preserve"> </w:t>
      </w:r>
      <w:r>
        <w:t xml:space="preserve">could be because of the way we created the big five variables by just</w:t>
      </w:r>
      <w:r>
        <w:t xml:space="preserve"> </w:t>
      </w:r>
      <w:r>
        <w:t xml:space="preserve">taking the average of the dedicated data/questions.</w:t>
      </w:r>
    </w:p>
    <w:p>
      <w:pPr>
        <w:pStyle w:val="BodyText"/>
      </w:pPr>
      <w:r>
        <w:t xml:space="preserve"> </w:t>
      </w:r>
    </w:p>
    <w:p>
      <w:pPr>
        <w:pStyle w:val="BodyText"/>
      </w:pPr>
      <w:r>
        <w:br w:type="textWrapping"/>
      </w:r>
      <w:r>
        <w:br w:type="textWrapping"/>
      </w:r>
      <w:r>
        <w:br w:type="textWrapping"/>
      </w:r>
      <w:r>
        <w:t xml:space="preserve">LOCUS </w:t>
      </w:r>
    </w:p>
    <w:p>
      <w:pPr>
        <w:pStyle w:val="BodyText"/>
      </w:pPr>
      <w:r>
        <w:t xml:space="preserve">LOCUS</w:t>
      </w:r>
    </w:p>
    <w:p>
      <w:pPr>
        <w:pStyle w:val="BodyText"/>
      </w:pPr>
      <w:r>
        <w:br w:type="textWrapping"/>
      </w:r>
      <w:r>
        <w:t xml:space="preserve">RISK</w:t>
      </w:r>
    </w:p>
    <w:p>
      <w:pPr>
        <w:pStyle w:val="BodyText"/>
      </w:pPr>
      <w:r>
        <w:br w:type="textWrapping"/>
      </w:r>
      <w:r>
        <w:t xml:space="preserve">COGNITIVE </w:t>
      </w:r>
    </w:p>
    <w:p>
      <w:pPr>
        <w:pStyle w:val="BodyText"/>
      </w:pPr>
      <w:r>
        <w:br w:type="textWrapping"/>
      </w:r>
      <w:r>
        <w:br w:type="textWrapping"/>
      </w:r>
      <w:r>
        <w:br w:type="textWrapping"/>
      </w:r>
      <w:r>
        <w:br w:type="textWrapping"/>
      </w:r>
    </w:p>
    <w:p>
      <w:pPr>
        <w:pStyle w:val="Heading1"/>
      </w:pPr>
      <w:bookmarkStart w:id="33" w:name="conclusion"/>
      <w:bookmarkEnd w:id="33"/>
      <w:r>
        <w:t xml:space="preserve">Conclusion</w:t>
      </w:r>
    </w:p>
    <w:p>
      <w:pPr>
        <w:pStyle w:val="FirstParagraph"/>
      </w:pPr>
      <w:r>
        <w:br w:type="textWrapping"/>
      </w:r>
      <w:r>
        <w:t xml:space="preserve">Text</w:t>
      </w:r>
    </w:p>
    <w:p>
      <w:pPr>
        <w:pStyle w:val="BodyText"/>
      </w:pPr>
      <w:r>
        <w:br w:type="textWrapping"/>
      </w:r>
      <w:r>
        <w:br w:type="textWrapping"/>
      </w:r>
    </w:p>
    <w:p>
      <w:pPr>
        <w:pStyle w:val="Heading1"/>
      </w:pPr>
      <w:bookmarkStart w:id="34" w:name="appendix"/>
      <w:bookmarkEnd w:id="34"/>
      <w:r>
        <w:t xml:space="preserve">Appendix</w:t>
      </w:r>
    </w:p>
    <w:p>
      <w:pPr>
        <w:pStyle w:val="FirstParagraph"/>
      </w:pPr>
      <w:r>
        <w:t xml:space="preserve">No cite (2017, n.d.)</w:t>
      </w:r>
    </w:p>
    <w:p>
      <w:pPr>
        <w:pStyle w:val="BodyText"/>
      </w:pPr>
      <w:r>
        <w:t xml:space="preserve">lccccccccc</w:t>
      </w:r>
    </w:p>
    <w:p>
      <w:pPr>
        <w:pStyle w:val="BodyText"/>
      </w:pPr>
      <w:r>
        <w:t xml:space="preserve">&amp;</w:t>
      </w:r>
      <w:r>
        <w:br w:type="textWrapping"/>
      </w: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t xml:space="preserve">&amp;</w:t>
      </w:r>
    </w:p>
    <w:p>
      <w:pPr>
        <w:pStyle w:val="TableCaption"/>
      </w:pPr>
      <w:r>
        <w:t xml:space="preserve"> </w:t>
      </w:r>
      <w:r>
        <w:t xml:space="preserve">Probit Regression Results -</w:t>
      </w:r>
      <w:r>
        <w:t xml:space="preserve"> </w:t>
      </w:r>
    </w:p>
    <w:tbl>
      <w:tblPr>
        <w:tblStyle w:val="TableNormal"/>
        <w:tblW w:type="pct" w:w="0.0"/>
        <w:tblLook/>
        <w:tblCaption w:val=" Probit Regression Results - "/>
      </w:tblPr>
      <w:tblGrid/>
    </w:tbl>
    <w:p>
      <w:pPr>
        <w:pStyle w:val="BodyText"/>
      </w:pPr>
      <w:r>
        <w:br w:type="textWrapping"/>
      </w:r>
      <w:r>
        <w:t xml:space="preserve">&amp; (1) &amp; (2) &amp; (3) &amp; (4) &amp; (5) &amp; (6) &amp; (7) &amp; (8) &amp; (9)</w:t>
      </w:r>
      <w:r>
        <w:br w:type="textWrapping"/>
      </w:r>
      <w:r>
        <w:t xml:space="preserve">Dependent Variable: &amp;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&amp;&amp;&amp;&amp;&amp;&amp;&amp;&amp;&amp;</w:t>
      </w:r>
      <w:r>
        <w:br w:type="textWrapping"/>
      </w:r>
      <w:r>
        <w:t xml:space="preserve">&amp;1&amp;1&amp;1&amp;1&amp;1&amp;1&amp;1&amp;1&amp;1</w:t>
      </w:r>
      <w:r>
        <w:br w:type="textWrapping"/>
      </w:r>
      <w:r>
        <w:t xml:space="preserve">&amp;&amp;&amp;&amp;&amp;&amp;&amp;&amp;&amp;</w:t>
      </w:r>
      <w:r>
        <w:br w:type="textWrapping"/>
      </w:r>
      <w:r>
        <w:t xml:space="preserve">Observations &amp;&amp;&amp;&amp;&amp;&amp;&amp;&amp;&amp;</w:t>
      </w:r>
      <w:r>
        <w:br w:type="textWrapping"/>
      </w:r>
      <w:r>
        <w:t xml:space="preserve">Pseudo R² &amp;&amp;&amp;&amp;&amp;&amp;&amp;&amp;&amp;</w:t>
      </w:r>
      <w:r>
        <w:br w:type="textWrapping"/>
      </w:r>
    </w:p>
    <w:tbl>
      <w:tblPr>
        <w:tblStyle w:val="TableNormal"/>
        <w:tblW w:type="pct" w:w="0.0"/>
        <w:tblLook w:firstRow="1"/>
      </w:tblPr>
      <w:tblGrid/>
      <w:tr>
        <w:trPr>
          <w:cnfStyle w:firstRow="1"/>
        </w:trPr>
        <w:tc>
          <w:tcPr>
            <w:tcBorders>
              <w:bottom w:val="single"/>
            </w:tcBorders>
            <w:vAlign w:val="bottom"/>
          </w:tcPr>
          <w:p>
            <w:pPr>
              <w:pStyle w:val="Compact"/>
            </w:pPr>
          </w:p>
        </w:tc>
        <w:tc>
          <w:tcPr>
            <w:tcBorders>
              <w:bottom w:val="single"/>
            </w:tcBorders>
            <w:vAlign w:val="bottom"/>
          </w:tcPr>
          <w:p>
            <w:pPr>
              <w:pStyle w:val="Compact"/>
              <w:jc w:val="right"/>
            </w:pPr>
            <w:r>
              <w:t xml:space="preserve">female</w:t>
            </w:r>
          </w:p>
        </w:tc>
        <w:tc>
          <w:tcPr>
            <w:tcBorders>
              <w:bottom w:val="single"/>
            </w:tcBorders>
            <w:vAlign w:val="bottom"/>
          </w:tcPr>
          <w:p>
            <w:pPr>
              <w:pStyle w:val="Compact"/>
              <w:jc w:val="right"/>
            </w:pPr>
            <w:r>
              <w:t xml:space="preserve">abschlussalter</w:t>
            </w:r>
          </w:p>
        </w:tc>
        <w:tc>
          <w:tcPr>
            <w:tcBorders>
              <w:bottom w:val="single"/>
            </w:tcBorders>
            <w:vAlign w:val="bottom"/>
          </w:tcPr>
          <w:p>
            <w:pPr>
              <w:pStyle w:val="Compact"/>
              <w:jc w:val="right"/>
            </w:pPr>
            <w:r>
              <w:t xml:space="preserve">70er</w:t>
            </w:r>
          </w:p>
        </w:tc>
        <w:tc>
          <w:tcPr>
            <w:tcBorders>
              <w:bottom w:val="single"/>
            </w:tcBorders>
            <w:vAlign w:val="bottom"/>
          </w:tcPr>
          <w:p>
            <w:pPr>
              <w:pStyle w:val="Compact"/>
              <w:jc w:val="right"/>
            </w:pPr>
            <w:r>
              <w:t xml:space="preserve">80er</w:t>
            </w:r>
          </w:p>
        </w:tc>
        <w:tc>
          <w:tcPr>
            <w:tcBorders>
              <w:bottom w:val="single"/>
            </w:tcBorders>
            <w:vAlign w:val="bottom"/>
          </w:tcPr>
          <w:p>
            <w:pPr>
              <w:pStyle w:val="Compact"/>
              <w:jc w:val="right"/>
            </w:pPr>
            <w:r>
              <w:t xml:space="preserve">90er</w:t>
            </w:r>
          </w:p>
        </w:tc>
        <w:tc>
          <w:tcPr>
            <w:tcBorders>
              <w:bottom w:val="single"/>
            </w:tcBorders>
            <w:vAlign w:val="bottom"/>
          </w:tcPr>
          <w:p>
            <w:pPr>
              <w:pStyle w:val="Compact"/>
              <w:jc w:val="right"/>
            </w:pPr>
            <w:r>
              <w:t xml:space="preserve">v_abitur</w:t>
            </w:r>
          </w:p>
        </w:tc>
        <w:tc>
          <w:tcPr>
            <w:tcBorders>
              <w:bottom w:val="single"/>
            </w:tcBorders>
            <w:vAlign w:val="bottom"/>
          </w:tcPr>
          <w:p>
            <w:pPr>
              <w:pStyle w:val="Compact"/>
              <w:jc w:val="right"/>
            </w:pPr>
            <w:r>
              <w:t xml:space="preserve">m_abitur</w:t>
            </w:r>
          </w:p>
        </w:tc>
        <w:tc>
          <w:tcPr>
            <w:tcBorders>
              <w:bottom w:val="single"/>
            </w:tcBorders>
            <w:vAlign w:val="bottom"/>
          </w:tcPr>
          <w:p>
            <w:pPr>
              <w:pStyle w:val="Compact"/>
              <w:jc w:val="right"/>
            </w:pPr>
            <w:r>
              <w:t xml:space="preserve">mig</w:t>
            </w:r>
          </w:p>
        </w:tc>
        <w:tc>
          <w:tcPr>
            <w:tcBorders>
              <w:bottom w:val="single"/>
            </w:tcBorders>
            <w:vAlign w:val="bottom"/>
          </w:tcPr>
          <w:p>
            <w:pPr>
              <w:pStyle w:val="Compact"/>
              <w:jc w:val="right"/>
            </w:pPr>
            <w:r>
              <w:t xml:space="preserve">auszugsincome</w:t>
            </w:r>
          </w:p>
        </w:tc>
        <w:tc>
          <w:tcPr>
            <w:tcBorders>
              <w:bottom w:val="single"/>
            </w:tcBorders>
            <w:vAlign w:val="bottom"/>
          </w:tcPr>
          <w:p>
            <w:pPr>
              <w:pStyle w:val="Compact"/>
              <w:jc w:val="right"/>
            </w:pPr>
            <w:r>
              <w:t xml:space="preserve">open</w:t>
            </w:r>
          </w:p>
        </w:tc>
        <w:tc>
          <w:tcPr>
            <w:tcBorders>
              <w:bottom w:val="single"/>
            </w:tcBorders>
            <w:vAlign w:val="bottom"/>
          </w:tcPr>
          <w:p>
            <w:pPr>
              <w:pStyle w:val="Compact"/>
              <w:jc w:val="right"/>
            </w:pPr>
            <w:r>
              <w:t xml:space="preserve">cons</w:t>
            </w:r>
          </w:p>
        </w:tc>
        <w:tc>
          <w:tcPr>
            <w:tcBorders>
              <w:bottom w:val="single"/>
            </w:tcBorders>
            <w:vAlign w:val="bottom"/>
          </w:tcPr>
          <w:p>
            <w:pPr>
              <w:pStyle w:val="Compact"/>
              <w:jc w:val="right"/>
            </w:pPr>
            <w:r>
              <w:t xml:space="preserve">extra</w:t>
            </w:r>
          </w:p>
        </w:tc>
        <w:tc>
          <w:tcPr>
            <w:tcBorders>
              <w:bottom w:val="single"/>
            </w:tcBorders>
            <w:vAlign w:val="bottom"/>
          </w:tcPr>
          <w:p>
            <w:pPr>
              <w:pStyle w:val="Compact"/>
              <w:jc w:val="right"/>
            </w:pPr>
            <w:r>
              <w:t xml:space="preserve">agree</w:t>
            </w:r>
          </w:p>
        </w:tc>
        <w:tc>
          <w:tcPr>
            <w:tcBorders>
              <w:bottom w:val="single"/>
            </w:tcBorders>
            <w:vAlign w:val="bottom"/>
          </w:tcPr>
          <w:p>
            <w:pPr>
              <w:pStyle w:val="Compact"/>
              <w:jc w:val="right"/>
            </w:pPr>
            <w:r>
              <w:t xml:space="preserve">neuro</w:t>
            </w:r>
          </w:p>
        </w:tc>
        <w:tc>
          <w:tcPr>
            <w:tcBorders>
              <w:bottom w:val="single"/>
            </w:tcBorders>
            <w:vAlign w:val="bottom"/>
          </w:tcPr>
          <w:p>
            <w:pPr>
              <w:pStyle w:val="Compact"/>
              <w:jc w:val="right"/>
            </w:pPr>
            <w:r>
              <w:t xml:space="preserve">risk</w:t>
            </w:r>
          </w:p>
        </w:tc>
        <w:tc>
          <w:tcPr>
            <w:tcBorders>
              <w:bottom w:val="single"/>
            </w:tcBorders>
            <w:vAlign w:val="bottom"/>
          </w:tcPr>
          <w:p>
            <w:pPr>
              <w:pStyle w:val="Compact"/>
              <w:jc w:val="right"/>
            </w:pPr>
            <w:r>
              <w:t xml:space="preserve">locus</w:t>
            </w:r>
          </w:p>
        </w:tc>
      </w:tr>
      <w:tr>
        <w:tc>
          <w:p>
            <w:pPr>
              <w:pStyle w:val="Compact"/>
              <w:jc w:val="left"/>
            </w:pPr>
            <w:r>
              <w:t xml:space="preserve">count</w:t>
            </w:r>
          </w:p>
        </w:tc>
        <w:tc>
          <w:p>
            <w:pPr>
              <w:pStyle w:val="Compact"/>
              <w:jc w:val="right"/>
            </w:pPr>
            <w:r>
              <w:t xml:space="preserve">276.0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c>
          <w:p>
            <w:pPr>
              <w:pStyle w:val="Compact"/>
              <w:jc w:val="right"/>
            </w:pPr>
            <w:r>
              <w:t xml:space="preserve">276.000000</w:t>
            </w:r>
          </w:p>
        </w:tc>
      </w:tr>
      <w:tr>
        <w:tc>
          <w:p>
            <w:pPr>
              <w:pStyle w:val="Compact"/>
              <w:jc w:val="left"/>
            </w:pPr>
            <w:r>
              <w:t xml:space="preserve">mean</w:t>
            </w:r>
          </w:p>
        </w:tc>
        <w:tc>
          <w:p>
            <w:pPr>
              <w:pStyle w:val="Compact"/>
              <w:jc w:val="right"/>
            </w:pPr>
            <w:r>
              <w:t xml:space="preserve">0.0</w:t>
            </w:r>
          </w:p>
        </w:tc>
        <w:tc>
          <w:p>
            <w:pPr>
              <w:pStyle w:val="Compact"/>
              <w:jc w:val="right"/>
            </w:pPr>
            <w:r>
              <w:t xml:space="preserve">27.257246</w:t>
            </w:r>
          </w:p>
        </w:tc>
        <w:tc>
          <w:p>
            <w:pPr>
              <w:pStyle w:val="Compact"/>
              <w:jc w:val="right"/>
            </w:pPr>
            <w:r>
              <w:t xml:space="preserve">0.257246</w:t>
            </w:r>
          </w:p>
        </w:tc>
        <w:tc>
          <w:p>
            <w:pPr>
              <w:pStyle w:val="Compact"/>
              <w:jc w:val="right"/>
            </w:pPr>
            <w:r>
              <w:t xml:space="preserve">0.648551</w:t>
            </w:r>
          </w:p>
        </w:tc>
        <w:tc>
          <w:p>
            <w:pPr>
              <w:pStyle w:val="Compact"/>
              <w:jc w:val="right"/>
            </w:pPr>
            <w:r>
              <w:t xml:space="preserve">0.083333</w:t>
            </w:r>
          </w:p>
        </w:tc>
        <w:tc>
          <w:p>
            <w:pPr>
              <w:pStyle w:val="Compact"/>
              <w:jc w:val="right"/>
            </w:pPr>
            <w:r>
              <w:t xml:space="preserve">0.438406</w:t>
            </w:r>
          </w:p>
        </w:tc>
        <w:tc>
          <w:p>
            <w:pPr>
              <w:pStyle w:val="Compact"/>
              <w:jc w:val="right"/>
            </w:pPr>
            <w:r>
              <w:t xml:space="preserve">0.304348</w:t>
            </w:r>
          </w:p>
        </w:tc>
        <w:tc>
          <w:p>
            <w:pPr>
              <w:pStyle w:val="Compact"/>
              <w:jc w:val="right"/>
            </w:pPr>
            <w:r>
              <w:t xml:space="preserve">0.134058</w:t>
            </w:r>
          </w:p>
        </w:tc>
        <w:tc>
          <w:p>
            <w:pPr>
              <w:pStyle w:val="Compact"/>
              <w:jc w:val="right"/>
            </w:pPr>
            <w:r>
              <w:t xml:space="preserve">0.145220</w:t>
            </w:r>
          </w:p>
        </w:tc>
        <w:tc>
          <w:p>
            <w:pPr>
              <w:pStyle w:val="Compact"/>
              <w:jc w:val="right"/>
            </w:pPr>
            <w:r>
              <w:t xml:space="preserve">51.524575</w:t>
            </w:r>
          </w:p>
        </w:tc>
        <w:tc>
          <w:p>
            <w:pPr>
              <w:pStyle w:val="Compact"/>
              <w:jc w:val="right"/>
            </w:pPr>
            <w:r>
              <w:t xml:space="preserve">43.267943</w:t>
            </w:r>
          </w:p>
        </w:tc>
        <w:tc>
          <w:p>
            <w:pPr>
              <w:pStyle w:val="Compact"/>
              <w:jc w:val="right"/>
            </w:pPr>
            <w:r>
              <w:t xml:space="preserve">49.524147</w:t>
            </w:r>
          </w:p>
        </w:tc>
        <w:tc>
          <w:p>
            <w:pPr>
              <w:pStyle w:val="Compact"/>
              <w:jc w:val="right"/>
            </w:pPr>
            <w:r>
              <w:t xml:space="preserve">48.329289</w:t>
            </w:r>
          </w:p>
        </w:tc>
        <w:tc>
          <w:p>
            <w:pPr>
              <w:pStyle w:val="Compact"/>
              <w:jc w:val="right"/>
            </w:pPr>
            <w:r>
              <w:t xml:space="preserve">47.336647</w:t>
            </w:r>
          </w:p>
        </w:tc>
        <w:tc>
          <w:p>
            <w:pPr>
              <w:pStyle w:val="Compact"/>
              <w:jc w:val="right"/>
            </w:pPr>
            <w:r>
              <w:t xml:space="preserve">5.318841</w:t>
            </w:r>
          </w:p>
        </w:tc>
        <w:tc>
          <w:p>
            <w:pPr>
              <w:pStyle w:val="Compact"/>
              <w:jc w:val="right"/>
            </w:pPr>
            <w:r>
              <w:t xml:space="preserve">52.111848</w:t>
            </w:r>
          </w:p>
        </w:tc>
      </w:tr>
      <w:tr>
        <w:tc>
          <w:p>
            <w:pPr>
              <w:pStyle w:val="Compact"/>
              <w:jc w:val="left"/>
            </w:pPr>
            <w:r>
              <w:t xml:space="preserve">std</w:t>
            </w:r>
          </w:p>
        </w:tc>
        <w:tc>
          <w:p>
            <w:pPr>
              <w:pStyle w:val="Compact"/>
              <w:jc w:val="right"/>
            </w:pPr>
            <w:r>
              <w:t xml:space="preserve">0.0</w:t>
            </w:r>
          </w:p>
        </w:tc>
        <w:tc>
          <w:p>
            <w:pPr>
              <w:pStyle w:val="Compact"/>
              <w:jc w:val="right"/>
            </w:pPr>
            <w:r>
              <w:t xml:space="preserve">2.766511</w:t>
            </w:r>
          </w:p>
        </w:tc>
        <w:tc>
          <w:p>
            <w:pPr>
              <w:pStyle w:val="Compact"/>
              <w:jc w:val="right"/>
            </w:pPr>
            <w:r>
              <w:t xml:space="preserve">0.437910</w:t>
            </w:r>
          </w:p>
        </w:tc>
        <w:tc>
          <w:p>
            <w:pPr>
              <w:pStyle w:val="Compact"/>
              <w:jc w:val="right"/>
            </w:pPr>
            <w:r>
              <w:t xml:space="preserve">0.478290</w:t>
            </w:r>
          </w:p>
        </w:tc>
        <w:tc>
          <w:p>
            <w:pPr>
              <w:pStyle w:val="Compact"/>
              <w:jc w:val="right"/>
            </w:pPr>
            <w:r>
              <w:t xml:space="preserve">0.276887</w:t>
            </w:r>
          </w:p>
        </w:tc>
        <w:tc>
          <w:p>
            <w:pPr>
              <w:pStyle w:val="Compact"/>
              <w:jc w:val="right"/>
            </w:pPr>
            <w:r>
              <w:t xml:space="preserve">0.497093</w:t>
            </w:r>
          </w:p>
        </w:tc>
        <w:tc>
          <w:p>
            <w:pPr>
              <w:pStyle w:val="Compact"/>
              <w:jc w:val="right"/>
            </w:pPr>
            <w:r>
              <w:t xml:space="preserve">0.460967</w:t>
            </w:r>
          </w:p>
        </w:tc>
        <w:tc>
          <w:p>
            <w:pPr>
              <w:pStyle w:val="Compact"/>
              <w:jc w:val="right"/>
            </w:pPr>
            <w:r>
              <w:t xml:space="preserve">0.341334</w:t>
            </w:r>
          </w:p>
        </w:tc>
        <w:tc>
          <w:p>
            <w:pPr>
              <w:pStyle w:val="Compact"/>
              <w:jc w:val="right"/>
            </w:pPr>
            <w:r>
              <w:t xml:space="preserve">1.013765</w:t>
            </w:r>
          </w:p>
        </w:tc>
        <w:tc>
          <w:p>
            <w:pPr>
              <w:pStyle w:val="Compact"/>
              <w:jc w:val="right"/>
            </w:pPr>
            <w:r>
              <w:t xml:space="preserve">9.468405</w:t>
            </w:r>
          </w:p>
        </w:tc>
        <w:tc>
          <w:p>
            <w:pPr>
              <w:pStyle w:val="Compact"/>
              <w:jc w:val="right"/>
            </w:pPr>
            <w:r>
              <w:t xml:space="preserve">10.657743</w:t>
            </w:r>
          </w:p>
        </w:tc>
        <w:tc>
          <w:p>
            <w:pPr>
              <w:pStyle w:val="Compact"/>
              <w:jc w:val="right"/>
            </w:pPr>
            <w:r>
              <w:t xml:space="preserve">11.001349</w:t>
            </w:r>
          </w:p>
        </w:tc>
        <w:tc>
          <w:p>
            <w:pPr>
              <w:pStyle w:val="Compact"/>
              <w:jc w:val="right"/>
            </w:pPr>
            <w:r>
              <w:t xml:space="preserve">9.329814</w:t>
            </w:r>
          </w:p>
        </w:tc>
        <w:tc>
          <w:p>
            <w:pPr>
              <w:pStyle w:val="Compact"/>
              <w:jc w:val="right"/>
            </w:pPr>
            <w:r>
              <w:t xml:space="preserve">10.190857</w:t>
            </w:r>
          </w:p>
        </w:tc>
        <w:tc>
          <w:p>
            <w:pPr>
              <w:pStyle w:val="Compact"/>
              <w:jc w:val="right"/>
            </w:pPr>
            <w:r>
              <w:t xml:space="preserve">2.053770</w:t>
            </w:r>
          </w:p>
        </w:tc>
        <w:tc>
          <w:p>
            <w:pPr>
              <w:pStyle w:val="Compact"/>
              <w:jc w:val="right"/>
            </w:pPr>
            <w:r>
              <w:t xml:space="preserve">8.029654</w:t>
            </w:r>
          </w:p>
        </w:tc>
      </w:tr>
      <w:tr>
        <w:tc>
          <w:p>
            <w:pPr>
              <w:pStyle w:val="Compact"/>
              <w:jc w:val="left"/>
            </w:pPr>
            <w:r>
              <w:t xml:space="preserve">min</w:t>
            </w:r>
          </w:p>
        </w:tc>
        <w:tc>
          <w:p>
            <w:pPr>
              <w:pStyle w:val="Compact"/>
              <w:jc w:val="right"/>
            </w:pPr>
            <w:r>
              <w:t xml:space="preserve">0.0</w:t>
            </w:r>
          </w:p>
        </w:tc>
        <w:tc>
          <w:p>
            <w:pPr>
              <w:pStyle w:val="Compact"/>
              <w:jc w:val="right"/>
            </w:pPr>
            <w:r>
              <w:t xml:space="preserve">21.000000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-1.266237</w:t>
            </w:r>
          </w:p>
        </w:tc>
        <w:tc>
          <w:p>
            <w:pPr>
              <w:pStyle w:val="Compact"/>
              <w:jc w:val="right"/>
            </w:pPr>
            <w:r>
              <w:t xml:space="preserve">21.913475</w:t>
            </w:r>
          </w:p>
        </w:tc>
        <w:tc>
          <w:p>
            <w:pPr>
              <w:pStyle w:val="Compact"/>
              <w:jc w:val="right"/>
            </w:pPr>
            <w:r>
              <w:t xml:space="preserve">4.555968</w:t>
            </w:r>
          </w:p>
        </w:tc>
        <w:tc>
          <w:p>
            <w:pPr>
              <w:pStyle w:val="Compact"/>
              <w:jc w:val="right"/>
            </w:pPr>
            <w:r>
              <w:t xml:space="preserve">16.265535</w:t>
            </w:r>
          </w:p>
        </w:tc>
        <w:tc>
          <w:p>
            <w:pPr>
              <w:pStyle w:val="Compact"/>
              <w:jc w:val="right"/>
            </w:pPr>
            <w:r>
              <w:t xml:space="preserve">14.688607</w:t>
            </w:r>
          </w:p>
        </w:tc>
        <w:tc>
          <w:p>
            <w:pPr>
              <w:pStyle w:val="Compact"/>
              <w:jc w:val="right"/>
            </w:pPr>
            <w:r>
              <w:t xml:space="preserve">25.744640</w:t>
            </w:r>
          </w:p>
        </w:tc>
        <w:tc>
          <w:p>
            <w:pPr>
              <w:pStyle w:val="Compact"/>
              <w:jc w:val="right"/>
            </w:pPr>
            <w:r>
              <w:t xml:space="preserve">1.000000</w:t>
            </w:r>
          </w:p>
        </w:tc>
        <w:tc>
          <w:p>
            <w:pPr>
              <w:pStyle w:val="Compact"/>
              <w:jc w:val="right"/>
            </w:pPr>
            <w:r>
              <w:t xml:space="preserve">30.799611</w:t>
            </w:r>
          </w:p>
        </w:tc>
      </w:tr>
      <w:tr>
        <w:tc>
          <w:p>
            <w:pPr>
              <w:pStyle w:val="Compact"/>
              <w:jc w:val="left"/>
            </w:pPr>
            <w:r>
              <w:t xml:space="preserve">25%</w:t>
            </w:r>
          </w:p>
        </w:tc>
        <w:tc>
          <w:p>
            <w:pPr>
              <w:pStyle w:val="Compact"/>
              <w:jc w:val="right"/>
            </w:pPr>
            <w:r>
              <w:t xml:space="preserve">0.0</w:t>
            </w:r>
          </w:p>
        </w:tc>
        <w:tc>
          <w:p>
            <w:pPr>
              <w:pStyle w:val="Compact"/>
              <w:jc w:val="right"/>
            </w:pPr>
            <w:r>
              <w:t xml:space="preserve">25.000000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-0.503271</w:t>
            </w:r>
          </w:p>
        </w:tc>
        <w:tc>
          <w:p>
            <w:pPr>
              <w:pStyle w:val="Compact"/>
              <w:jc w:val="right"/>
            </w:pPr>
            <w:r>
              <w:t xml:space="preserve">45.847601</w:t>
            </w:r>
          </w:p>
        </w:tc>
        <w:tc>
          <w:p>
            <w:pPr>
              <w:pStyle w:val="Compact"/>
              <w:jc w:val="right"/>
            </w:pPr>
            <w:r>
              <w:t xml:space="preserve">37.262124</w:t>
            </w:r>
          </w:p>
        </w:tc>
        <w:tc>
          <w:p>
            <w:pPr>
              <w:pStyle w:val="Compact"/>
              <w:jc w:val="right"/>
            </w:pPr>
            <w:r>
              <w:t xml:space="preserve">42.561835</w:t>
            </w:r>
          </w:p>
        </w:tc>
        <w:tc>
          <w:p>
            <w:pPr>
              <w:pStyle w:val="Compact"/>
              <w:jc w:val="right"/>
            </w:pPr>
            <w:r>
              <w:t xml:space="preserve">41.959343</w:t>
            </w:r>
          </w:p>
        </w:tc>
        <w:tc>
          <w:p>
            <w:pPr>
              <w:pStyle w:val="Compact"/>
              <w:jc w:val="right"/>
            </w:pPr>
            <w:r>
              <w:t xml:space="preserve">40.236092</w:t>
            </w:r>
          </w:p>
        </w:tc>
        <w:tc>
          <w:p>
            <w:pPr>
              <w:pStyle w:val="Compact"/>
              <w:jc w:val="right"/>
            </w:pPr>
            <w:r>
              <w:t xml:space="preserve">4.000000</w:t>
            </w:r>
          </w:p>
        </w:tc>
        <w:tc>
          <w:p>
            <w:pPr>
              <w:pStyle w:val="Compact"/>
              <w:jc w:val="right"/>
            </w:pPr>
            <w:r>
              <w:t xml:space="preserve">47.282762</w:t>
            </w:r>
          </w:p>
        </w:tc>
      </w:tr>
      <w:tr>
        <w:tc>
          <w:p>
            <w:pPr>
              <w:pStyle w:val="Compact"/>
              <w:jc w:val="left"/>
            </w:pPr>
            <w:r>
              <w:t xml:space="preserve">50%</w:t>
            </w:r>
          </w:p>
        </w:tc>
        <w:tc>
          <w:p>
            <w:pPr>
              <w:pStyle w:val="Compact"/>
              <w:jc w:val="right"/>
            </w:pPr>
            <w:r>
              <w:t xml:space="preserve">0.0</w:t>
            </w:r>
          </w:p>
        </w:tc>
        <w:tc>
          <w:p>
            <w:pPr>
              <w:pStyle w:val="Compact"/>
              <w:jc w:val="right"/>
            </w:pPr>
            <w:r>
              <w:t xml:space="preserve">27.000000</w:t>
            </w:r>
          </w:p>
        </w:tc>
        <w:tc>
          <w:p>
            <w:pPr>
              <w:pStyle w:val="Compact"/>
              <w:jc w:val="right"/>
            </w:pPr>
            <w:r>
              <w:t xml:space="preserve">0.000000</w:t>
            </w:r>
          </w:p>
        </w:tc>
        <w:tc>
          <w:p>
            <w:pPr>
              <w:pStyle w:val="Compact"/>
              <w:jc w:val="right"/>
            </w:pPr>
            <w:r>
              <w:t xml:space="preserve">1.000000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-0.043518</w:t>
            </w:r>
          </w:p>
        </w:tc>
        <w:tc>
          <w:p>
            <w:pPr>
              <w:pStyle w:val="Compact"/>
              <w:jc w:val="right"/>
            </w:pPr>
            <w:r>
              <w:t xml:space="preserve">51.357707</w:t>
            </w:r>
          </w:p>
        </w:tc>
        <w:tc>
          <w:p>
            <w:pPr>
              <w:pStyle w:val="Compact"/>
              <w:jc w:val="right"/>
            </w:pPr>
            <w:r>
              <w:t xml:space="preserve">44.530159</w:t>
            </w:r>
          </w:p>
        </w:tc>
        <w:tc>
          <w:p>
            <w:pPr>
              <w:pStyle w:val="Compact"/>
              <w:jc w:val="right"/>
            </w:pPr>
            <w:r>
              <w:t xml:space="preserve">51.357569</w:t>
            </w:r>
          </w:p>
        </w:tc>
        <w:tc>
          <w:p>
            <w:pPr>
              <w:pStyle w:val="Compact"/>
              <w:jc w:val="right"/>
            </w:pPr>
            <w:r>
              <w:t xml:space="preserve">49.596354</w:t>
            </w:r>
          </w:p>
        </w:tc>
        <w:tc>
          <w:p>
            <w:pPr>
              <w:pStyle w:val="Compact"/>
              <w:jc w:val="right"/>
            </w:pPr>
            <w:r>
              <w:t xml:space="preserve">46.501227</w:t>
            </w:r>
          </w:p>
        </w:tc>
        <w:tc>
          <w:p>
            <w:pPr>
              <w:pStyle w:val="Compact"/>
              <w:jc w:val="right"/>
            </w:pPr>
            <w:r>
              <w:t xml:space="preserve">6.000000</w:t>
            </w:r>
          </w:p>
        </w:tc>
        <w:tc>
          <w:p>
            <w:pPr>
              <w:pStyle w:val="Compact"/>
              <w:jc w:val="right"/>
            </w:pPr>
            <w:r>
              <w:t xml:space="preserve">51.403549</w:t>
            </w:r>
          </w:p>
        </w:tc>
      </w:tr>
      <w:tr>
        <w:tc>
          <w:p>
            <w:pPr>
              <w:pStyle w:val="Compact"/>
              <w:jc w:val="left"/>
            </w:pPr>
            <w:r>
              <w:t xml:space="preserve">75%</w:t>
            </w:r>
          </w:p>
        </w:tc>
        <w:tc>
          <w:p>
            <w:pPr>
              <w:pStyle w:val="Compact"/>
              <w:jc w:val="right"/>
            </w:pPr>
            <w:r>
              <w:t xml:space="preserve">0.0</w:t>
            </w:r>
          </w:p>
        </w:tc>
        <w:tc>
          <w:p>
            <w:pPr>
              <w:pStyle w:val="Compact"/>
              <w:jc w:val="right"/>
            </w:pPr>
            <w:r>
              <w:t xml:space="preserve">29.000000</w:t>
            </w:r>
          </w:p>
        </w:tc>
        <w:tc>
          <w:p>
            <w:pPr>
              <w:pStyle w:val="Compact"/>
              <w:jc w:val="right"/>
            </w:pPr>
            <w:r>
              <w:t xml:space="preserve">1.000000</w:t>
            </w:r>
          </w:p>
        </w:tc>
        <w:tc>
          <w:p>
            <w:pPr>
              <w:pStyle w:val="Compact"/>
              <w:jc w:val="right"/>
            </w:pPr>
            <w:r>
              <w:t xml:space="preserve">1.000000</w:t>
            </w:r>
          </w:p>
        </w:tc>
        <w:tc>
          <w:p>
            <w:pPr>
              <w:pStyle w:val="Compact"/>
              <w:jc w:val="right"/>
            </w:pPr>
            <w:r>
              <w:t xml:space="preserve">0.000000</w:t>
            </w:r>
          </w:p>
        </w:tc>
        <w:tc>
          <w:p>
            <w:pPr>
              <w:pStyle w:val="Compact"/>
              <w:jc w:val="right"/>
            </w:pPr>
            <w:r>
              <w:t xml:space="preserve">1.000000</w:t>
            </w:r>
          </w:p>
        </w:tc>
        <w:tc>
          <w:p>
            <w:pPr>
              <w:pStyle w:val="Compact"/>
              <w:jc w:val="right"/>
            </w:pPr>
            <w:r>
              <w:t xml:space="preserve">1.000000</w:t>
            </w:r>
          </w:p>
        </w:tc>
        <w:tc>
          <w:p>
            <w:pPr>
              <w:pStyle w:val="Compact"/>
              <w:jc w:val="right"/>
            </w:pPr>
            <w:r>
              <w:t xml:space="preserve">0.000000</w:t>
            </w:r>
          </w:p>
        </w:tc>
        <w:tc>
          <w:p>
            <w:pPr>
              <w:pStyle w:val="Compact"/>
              <w:jc w:val="right"/>
            </w:pPr>
            <w:r>
              <w:t xml:space="preserve">0.555408</w:t>
            </w:r>
          </w:p>
        </w:tc>
        <w:tc>
          <w:p>
            <w:pPr>
              <w:pStyle w:val="Compact"/>
              <w:jc w:val="right"/>
            </w:pPr>
            <w:r>
              <w:t xml:space="preserve">57.591231</w:t>
            </w:r>
          </w:p>
        </w:tc>
        <w:tc>
          <w:p>
            <w:pPr>
              <w:pStyle w:val="Compact"/>
              <w:jc w:val="right"/>
            </w:pPr>
            <w:r>
              <w:t xml:space="preserve">51.066941</w:t>
            </w:r>
          </w:p>
        </w:tc>
        <w:tc>
          <w:p>
            <w:pPr>
              <w:pStyle w:val="Compact"/>
              <w:jc w:val="right"/>
            </w:pPr>
            <w:r>
              <w:t xml:space="preserve">57.349664</w:t>
            </w:r>
          </w:p>
        </w:tc>
        <w:tc>
          <w:p>
            <w:pPr>
              <w:pStyle w:val="Compact"/>
              <w:jc w:val="right"/>
            </w:pPr>
            <w:r>
              <w:t xml:space="preserve">55.594711</w:t>
            </w:r>
          </w:p>
        </w:tc>
        <w:tc>
          <w:p>
            <w:pPr>
              <w:pStyle w:val="Compact"/>
              <w:jc w:val="right"/>
            </w:pPr>
            <w:r>
              <w:t xml:space="preserve">54.710732</w:t>
            </w:r>
          </w:p>
        </w:tc>
        <w:tc>
          <w:p>
            <w:pPr>
              <w:pStyle w:val="Compact"/>
              <w:jc w:val="right"/>
            </w:pPr>
            <w:r>
              <w:t xml:space="preserve">7.000000</w:t>
            </w:r>
          </w:p>
        </w:tc>
        <w:tc>
          <w:p>
            <w:pPr>
              <w:pStyle w:val="Compact"/>
              <w:jc w:val="right"/>
            </w:pPr>
            <w:r>
              <w:t xml:space="preserve">57.323995</w:t>
            </w:r>
          </w:p>
        </w:tc>
      </w:tr>
      <w:tr>
        <w:tc>
          <w:p>
            <w:pPr>
              <w:pStyle w:val="Compact"/>
              <w:jc w:val="left"/>
            </w:pPr>
            <w:r>
              <w:t xml:space="preserve">max</w:t>
            </w:r>
          </w:p>
        </w:tc>
        <w:tc>
          <w:p>
            <w:pPr>
              <w:pStyle w:val="Compact"/>
              <w:jc w:val="right"/>
            </w:pPr>
            <w:r>
              <w:t xml:space="preserve">0.0</w:t>
            </w:r>
          </w:p>
        </w:tc>
        <w:tc>
          <w:p>
            <w:pPr>
              <w:pStyle w:val="Compact"/>
              <w:jc w:val="right"/>
            </w:pPr>
            <w:r>
              <w:t xml:space="preserve">35.000000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7.998121</w:t>
            </w:r>
          </w:p>
        </w:tc>
        <w:tc>
          <w:p>
            <w:pPr>
              <w:pStyle w:val="Compact"/>
              <w:jc w:val="right"/>
            </w:pPr>
            <w:r>
              <w:t xml:space="preserve">71.313444</w:t>
            </w:r>
          </w:p>
        </w:tc>
        <w:tc>
          <w:p>
            <w:pPr>
              <w:pStyle w:val="Compact"/>
              <w:jc w:val="right"/>
            </w:pPr>
            <w:r>
              <w:t xml:space="preserve">62.700246</w:t>
            </w:r>
          </w:p>
        </w:tc>
        <w:tc>
          <w:p>
            <w:pPr>
              <w:pStyle w:val="Compact"/>
              <w:jc w:val="right"/>
            </w:pPr>
            <w:r>
              <w:t xml:space="preserve">69.467964</w:t>
            </w:r>
          </w:p>
        </w:tc>
        <w:tc>
          <w:p>
            <w:pPr>
              <w:pStyle w:val="Compact"/>
              <w:jc w:val="right"/>
            </w:pPr>
            <w:r>
              <w:t xml:space="preserve">66.898161</w:t>
            </w:r>
          </w:p>
        </w:tc>
        <w:tc>
          <w:p>
            <w:pPr>
              <w:pStyle w:val="Compact"/>
              <w:jc w:val="right"/>
            </w:pPr>
            <w:r>
              <w:t xml:space="preserve">73.303842</w:t>
            </w:r>
          </w:p>
        </w:tc>
        <w:tc>
          <w:p>
            <w:pPr>
              <w:pStyle w:val="Compact"/>
              <w:jc w:val="right"/>
            </w:pPr>
            <w:r>
              <w:t xml:space="preserve">9.000000</w:t>
            </w:r>
          </w:p>
        </w:tc>
        <w:tc>
          <w:p>
            <w:pPr>
              <w:pStyle w:val="Compact"/>
              <w:jc w:val="right"/>
            </w:pPr>
            <w:r>
              <w:t xml:space="preserve">76.128275</w:t>
            </w:r>
          </w:p>
        </w:tc>
      </w:tr>
    </w:tbl>
    <w:p>
      <w:pPr>
        <w:pStyle w:val="Heading3"/>
      </w:pPr>
      <w:bookmarkStart w:id="35" w:name="women"/>
      <w:bookmarkEnd w:id="35"/>
      <w:r>
        <w:t xml:space="preserve">women</w:t>
      </w:r>
    </w:p>
    <w:p>
      <w:pPr>
        <w:pStyle w:val="FirstParagraph"/>
      </w:pPr>
      <w:r>
        <w:br w:type="textWrapping"/>
      </w:r>
    </w:p>
    <w:tbl>
      <w:tblPr>
        <w:tblStyle w:val="TableNormal"/>
        <w:tblW w:type="pct" w:w="0.0"/>
        <w:tblLook w:firstRow="1"/>
      </w:tblPr>
      <w:tblGrid/>
      <w:tr>
        <w:trPr>
          <w:cnfStyle w:firstRow="1"/>
        </w:trPr>
        <w:tc>
          <w:tcPr>
            <w:tcBorders>
              <w:bottom w:val="single"/>
            </w:tcBorders>
            <w:vAlign w:val="bottom"/>
          </w:tcPr>
          <w:p>
            <w:pPr>
              <w:pStyle w:val="Compact"/>
            </w:pPr>
          </w:p>
        </w:tc>
        <w:tc>
          <w:tcPr>
            <w:tcBorders>
              <w:bottom w:val="single"/>
            </w:tcBorders>
            <w:vAlign w:val="bottom"/>
          </w:tcPr>
          <w:p>
            <w:pPr>
              <w:pStyle w:val="Compact"/>
              <w:jc w:val="right"/>
            </w:pPr>
            <w:r>
              <w:t xml:space="preserve">female</w:t>
            </w:r>
          </w:p>
        </w:tc>
        <w:tc>
          <w:tcPr>
            <w:tcBorders>
              <w:bottom w:val="single"/>
            </w:tcBorders>
            <w:vAlign w:val="bottom"/>
          </w:tcPr>
          <w:p>
            <w:pPr>
              <w:pStyle w:val="Compact"/>
              <w:jc w:val="right"/>
            </w:pPr>
            <w:r>
              <w:t xml:space="preserve">abschlussalter</w:t>
            </w:r>
          </w:p>
        </w:tc>
        <w:tc>
          <w:tcPr>
            <w:tcBorders>
              <w:bottom w:val="single"/>
            </w:tcBorders>
            <w:vAlign w:val="bottom"/>
          </w:tcPr>
          <w:p>
            <w:pPr>
              <w:pStyle w:val="Compact"/>
              <w:jc w:val="right"/>
            </w:pPr>
            <w:r>
              <w:t xml:space="preserve">70er</w:t>
            </w:r>
          </w:p>
        </w:tc>
        <w:tc>
          <w:tcPr>
            <w:tcBorders>
              <w:bottom w:val="single"/>
            </w:tcBorders>
            <w:vAlign w:val="bottom"/>
          </w:tcPr>
          <w:p>
            <w:pPr>
              <w:pStyle w:val="Compact"/>
              <w:jc w:val="right"/>
            </w:pPr>
            <w:r>
              <w:t xml:space="preserve">80er</w:t>
            </w:r>
          </w:p>
        </w:tc>
        <w:tc>
          <w:tcPr>
            <w:tcBorders>
              <w:bottom w:val="single"/>
            </w:tcBorders>
            <w:vAlign w:val="bottom"/>
          </w:tcPr>
          <w:p>
            <w:pPr>
              <w:pStyle w:val="Compact"/>
              <w:jc w:val="right"/>
            </w:pPr>
            <w:r>
              <w:t xml:space="preserve">90er</w:t>
            </w:r>
          </w:p>
        </w:tc>
        <w:tc>
          <w:tcPr>
            <w:tcBorders>
              <w:bottom w:val="single"/>
            </w:tcBorders>
            <w:vAlign w:val="bottom"/>
          </w:tcPr>
          <w:p>
            <w:pPr>
              <w:pStyle w:val="Compact"/>
              <w:jc w:val="right"/>
            </w:pPr>
            <w:r>
              <w:t xml:space="preserve">v_abitur</w:t>
            </w:r>
          </w:p>
        </w:tc>
        <w:tc>
          <w:tcPr>
            <w:tcBorders>
              <w:bottom w:val="single"/>
            </w:tcBorders>
            <w:vAlign w:val="bottom"/>
          </w:tcPr>
          <w:p>
            <w:pPr>
              <w:pStyle w:val="Compact"/>
              <w:jc w:val="right"/>
            </w:pPr>
            <w:r>
              <w:t xml:space="preserve">m_abitur</w:t>
            </w:r>
          </w:p>
        </w:tc>
        <w:tc>
          <w:tcPr>
            <w:tcBorders>
              <w:bottom w:val="single"/>
            </w:tcBorders>
            <w:vAlign w:val="bottom"/>
          </w:tcPr>
          <w:p>
            <w:pPr>
              <w:pStyle w:val="Compact"/>
              <w:jc w:val="right"/>
            </w:pPr>
            <w:r>
              <w:t xml:space="preserve">mig</w:t>
            </w:r>
          </w:p>
        </w:tc>
        <w:tc>
          <w:tcPr>
            <w:tcBorders>
              <w:bottom w:val="single"/>
            </w:tcBorders>
            <w:vAlign w:val="bottom"/>
          </w:tcPr>
          <w:p>
            <w:pPr>
              <w:pStyle w:val="Compact"/>
              <w:jc w:val="right"/>
            </w:pPr>
            <w:r>
              <w:t xml:space="preserve">auszugsincome</w:t>
            </w:r>
          </w:p>
        </w:tc>
        <w:tc>
          <w:tcPr>
            <w:tcBorders>
              <w:bottom w:val="single"/>
            </w:tcBorders>
            <w:vAlign w:val="bottom"/>
          </w:tcPr>
          <w:p>
            <w:pPr>
              <w:pStyle w:val="Compact"/>
              <w:jc w:val="right"/>
            </w:pPr>
            <w:r>
              <w:t xml:space="preserve">open</w:t>
            </w:r>
          </w:p>
        </w:tc>
        <w:tc>
          <w:tcPr>
            <w:tcBorders>
              <w:bottom w:val="single"/>
            </w:tcBorders>
            <w:vAlign w:val="bottom"/>
          </w:tcPr>
          <w:p>
            <w:pPr>
              <w:pStyle w:val="Compact"/>
              <w:jc w:val="right"/>
            </w:pPr>
            <w:r>
              <w:t xml:space="preserve">cons</w:t>
            </w:r>
          </w:p>
        </w:tc>
        <w:tc>
          <w:tcPr>
            <w:tcBorders>
              <w:bottom w:val="single"/>
            </w:tcBorders>
            <w:vAlign w:val="bottom"/>
          </w:tcPr>
          <w:p>
            <w:pPr>
              <w:pStyle w:val="Compact"/>
              <w:jc w:val="right"/>
            </w:pPr>
            <w:r>
              <w:t xml:space="preserve">extra</w:t>
            </w:r>
          </w:p>
        </w:tc>
        <w:tc>
          <w:tcPr>
            <w:tcBorders>
              <w:bottom w:val="single"/>
            </w:tcBorders>
            <w:vAlign w:val="bottom"/>
          </w:tcPr>
          <w:p>
            <w:pPr>
              <w:pStyle w:val="Compact"/>
              <w:jc w:val="right"/>
            </w:pPr>
            <w:r>
              <w:t xml:space="preserve">agree</w:t>
            </w:r>
          </w:p>
        </w:tc>
        <w:tc>
          <w:tcPr>
            <w:tcBorders>
              <w:bottom w:val="single"/>
            </w:tcBorders>
            <w:vAlign w:val="bottom"/>
          </w:tcPr>
          <w:p>
            <w:pPr>
              <w:pStyle w:val="Compact"/>
              <w:jc w:val="right"/>
            </w:pPr>
            <w:r>
              <w:t xml:space="preserve">neuro</w:t>
            </w:r>
          </w:p>
        </w:tc>
        <w:tc>
          <w:tcPr>
            <w:tcBorders>
              <w:bottom w:val="single"/>
            </w:tcBorders>
            <w:vAlign w:val="bottom"/>
          </w:tcPr>
          <w:p>
            <w:pPr>
              <w:pStyle w:val="Compact"/>
              <w:jc w:val="right"/>
            </w:pPr>
            <w:r>
              <w:t xml:space="preserve">risk</w:t>
            </w:r>
          </w:p>
        </w:tc>
        <w:tc>
          <w:tcPr>
            <w:tcBorders>
              <w:bottom w:val="single"/>
            </w:tcBorders>
            <w:vAlign w:val="bottom"/>
          </w:tcPr>
          <w:p>
            <w:pPr>
              <w:pStyle w:val="Compact"/>
              <w:jc w:val="right"/>
            </w:pPr>
            <w:r>
              <w:t xml:space="preserve">locus</w:t>
            </w:r>
          </w:p>
        </w:tc>
      </w:tr>
      <w:tr>
        <w:tc>
          <w:p>
            <w:pPr>
              <w:pStyle w:val="Compact"/>
              <w:jc w:val="left"/>
            </w:pPr>
            <w:r>
              <w:t xml:space="preserve">count</w:t>
            </w:r>
          </w:p>
        </w:tc>
        <w:tc>
          <w:p>
            <w:pPr>
              <w:pStyle w:val="Compact"/>
              <w:jc w:val="right"/>
            </w:pPr>
            <w:r>
              <w:t xml:space="preserve">322.0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c>
          <w:p>
            <w:pPr>
              <w:pStyle w:val="Compact"/>
              <w:jc w:val="right"/>
            </w:pPr>
            <w:r>
              <w:t xml:space="preserve">322.000000</w:t>
            </w:r>
          </w:p>
        </w:tc>
      </w:tr>
      <w:tr>
        <w:tc>
          <w:p>
            <w:pPr>
              <w:pStyle w:val="Compact"/>
              <w:jc w:val="left"/>
            </w:pPr>
            <w:r>
              <w:t xml:space="preserve">mean</w:t>
            </w:r>
          </w:p>
        </w:tc>
        <w:tc>
          <w:p>
            <w:pPr>
              <w:pStyle w:val="Compact"/>
              <w:jc w:val="right"/>
            </w:pPr>
            <w:r>
              <w:t xml:space="preserve">1.0</w:t>
            </w:r>
          </w:p>
        </w:tc>
        <w:tc>
          <w:p>
            <w:pPr>
              <w:pStyle w:val="Compact"/>
              <w:jc w:val="right"/>
            </w:pPr>
            <w:r>
              <w:t xml:space="preserve">26.500000</w:t>
            </w:r>
          </w:p>
        </w:tc>
        <w:tc>
          <w:p>
            <w:pPr>
              <w:pStyle w:val="Compact"/>
              <w:jc w:val="right"/>
            </w:pPr>
            <w:r>
              <w:t xml:space="preserve">0.204969</w:t>
            </w:r>
          </w:p>
        </w:tc>
        <w:tc>
          <w:p>
            <w:pPr>
              <w:pStyle w:val="Compact"/>
              <w:jc w:val="right"/>
            </w:pPr>
            <w:r>
              <w:t xml:space="preserve">0.670807</w:t>
            </w:r>
          </w:p>
        </w:tc>
        <w:tc>
          <w:p>
            <w:pPr>
              <w:pStyle w:val="Compact"/>
              <w:jc w:val="right"/>
            </w:pPr>
            <w:r>
              <w:t xml:space="preserve">0.121118</w:t>
            </w:r>
          </w:p>
        </w:tc>
        <w:tc>
          <w:p>
            <w:pPr>
              <w:pStyle w:val="Compact"/>
              <w:jc w:val="right"/>
            </w:pPr>
            <w:r>
              <w:t xml:space="preserve">0.468944</w:t>
            </w:r>
          </w:p>
        </w:tc>
        <w:tc>
          <w:p>
            <w:pPr>
              <w:pStyle w:val="Compact"/>
              <w:jc w:val="right"/>
            </w:pPr>
            <w:r>
              <w:t xml:space="preserve">0.350932</w:t>
            </w:r>
          </w:p>
        </w:tc>
        <w:tc>
          <w:p>
            <w:pPr>
              <w:pStyle w:val="Compact"/>
              <w:jc w:val="right"/>
            </w:pPr>
            <w:r>
              <w:t xml:space="preserve">0.149068</w:t>
            </w:r>
          </w:p>
        </w:tc>
        <w:tc>
          <w:p>
            <w:pPr>
              <w:pStyle w:val="Compact"/>
              <w:jc w:val="right"/>
            </w:pPr>
            <w:r>
              <w:t xml:space="preserve">0.227901</w:t>
            </w:r>
          </w:p>
        </w:tc>
        <w:tc>
          <w:p>
            <w:pPr>
              <w:pStyle w:val="Compact"/>
              <w:jc w:val="right"/>
            </w:pPr>
            <w:r>
              <w:t xml:space="preserve">53.559771</w:t>
            </w:r>
          </w:p>
        </w:tc>
        <w:tc>
          <w:p>
            <w:pPr>
              <w:pStyle w:val="Compact"/>
              <w:jc w:val="right"/>
            </w:pPr>
            <w:r>
              <w:t xml:space="preserve">46.142961</w:t>
            </w:r>
          </w:p>
        </w:tc>
        <w:tc>
          <w:p>
            <w:pPr>
              <w:pStyle w:val="Compact"/>
              <w:jc w:val="right"/>
            </w:pPr>
            <w:r>
              <w:t xml:space="preserve">52.302723</w:t>
            </w:r>
          </w:p>
        </w:tc>
        <w:tc>
          <w:p>
            <w:pPr>
              <w:pStyle w:val="Compact"/>
              <w:jc w:val="right"/>
            </w:pPr>
            <w:r>
              <w:t xml:space="preserve">49.959664</w:t>
            </w:r>
          </w:p>
        </w:tc>
        <w:tc>
          <w:p>
            <w:pPr>
              <w:pStyle w:val="Compact"/>
              <w:jc w:val="right"/>
            </w:pPr>
            <w:r>
              <w:t xml:space="preserve">52.144710</w:t>
            </w:r>
          </w:p>
        </w:tc>
        <w:tc>
          <w:p>
            <w:pPr>
              <w:pStyle w:val="Compact"/>
              <w:jc w:val="right"/>
            </w:pPr>
            <w:r>
              <w:t xml:space="preserve">4.720497</w:t>
            </w:r>
          </w:p>
        </w:tc>
        <w:tc>
          <w:p>
            <w:pPr>
              <w:pStyle w:val="Compact"/>
              <w:jc w:val="right"/>
            </w:pPr>
            <w:r>
              <w:t xml:space="preserve">51.188617</w:t>
            </w:r>
          </w:p>
        </w:tc>
      </w:tr>
      <w:tr>
        <w:tc>
          <w:p>
            <w:pPr>
              <w:pStyle w:val="Compact"/>
              <w:jc w:val="left"/>
            </w:pPr>
            <w:r>
              <w:t xml:space="preserve">std</w:t>
            </w:r>
          </w:p>
        </w:tc>
        <w:tc>
          <w:p>
            <w:pPr>
              <w:pStyle w:val="Compact"/>
              <w:jc w:val="right"/>
            </w:pPr>
            <w:r>
              <w:t xml:space="preserve">0.0</w:t>
            </w:r>
          </w:p>
        </w:tc>
        <w:tc>
          <w:p>
            <w:pPr>
              <w:pStyle w:val="Compact"/>
              <w:jc w:val="right"/>
            </w:pPr>
            <w:r>
              <w:t xml:space="preserve">2.559266</w:t>
            </w:r>
          </w:p>
        </w:tc>
        <w:tc>
          <w:p>
            <w:pPr>
              <w:pStyle w:val="Compact"/>
              <w:jc w:val="right"/>
            </w:pPr>
            <w:r>
              <w:t xml:space="preserve">0.404307</w:t>
            </w:r>
          </w:p>
        </w:tc>
        <w:tc>
          <w:p>
            <w:pPr>
              <w:pStyle w:val="Compact"/>
              <w:jc w:val="right"/>
            </w:pPr>
            <w:r>
              <w:t xml:space="preserve">0.470651</w:t>
            </w:r>
          </w:p>
        </w:tc>
        <w:tc>
          <w:p>
            <w:pPr>
              <w:pStyle w:val="Compact"/>
              <w:jc w:val="right"/>
            </w:pPr>
            <w:r>
              <w:t xml:space="preserve">0.326772</w:t>
            </w:r>
          </w:p>
        </w:tc>
        <w:tc>
          <w:p>
            <w:pPr>
              <w:pStyle w:val="Compact"/>
              <w:jc w:val="right"/>
            </w:pPr>
            <w:r>
              <w:t xml:space="preserve">0.499811</w:t>
            </w:r>
          </w:p>
        </w:tc>
        <w:tc>
          <w:p>
            <w:pPr>
              <w:pStyle w:val="Compact"/>
              <w:jc w:val="right"/>
            </w:pPr>
            <w:r>
              <w:t xml:space="preserve">0.478004</w:t>
            </w:r>
          </w:p>
        </w:tc>
        <w:tc>
          <w:p>
            <w:pPr>
              <w:pStyle w:val="Compact"/>
              <w:jc w:val="right"/>
            </w:pPr>
            <w:r>
              <w:t xml:space="preserve">0.356710</w:t>
            </w:r>
          </w:p>
        </w:tc>
        <w:tc>
          <w:p>
            <w:pPr>
              <w:pStyle w:val="Compact"/>
              <w:jc w:val="right"/>
            </w:pPr>
            <w:r>
              <w:t xml:space="preserve">1.191073</w:t>
            </w:r>
          </w:p>
        </w:tc>
        <w:tc>
          <w:p>
            <w:pPr>
              <w:pStyle w:val="Compact"/>
              <w:jc w:val="right"/>
            </w:pPr>
            <w:r>
              <w:t xml:space="preserve">9.292905</w:t>
            </w:r>
          </w:p>
        </w:tc>
        <w:tc>
          <w:p>
            <w:pPr>
              <w:pStyle w:val="Compact"/>
              <w:jc w:val="right"/>
            </w:pPr>
            <w:r>
              <w:t xml:space="preserve">10.411779</w:t>
            </w:r>
          </w:p>
        </w:tc>
        <w:tc>
          <w:p>
            <w:pPr>
              <w:pStyle w:val="Compact"/>
              <w:jc w:val="right"/>
            </w:pPr>
            <w:r>
              <w:t xml:space="preserve">9.748378</w:t>
            </w:r>
          </w:p>
        </w:tc>
        <w:tc>
          <w:p>
            <w:pPr>
              <w:pStyle w:val="Compact"/>
              <w:jc w:val="right"/>
            </w:pPr>
            <w:r>
              <w:t xml:space="preserve">9.714576</w:t>
            </w:r>
          </w:p>
        </w:tc>
        <w:tc>
          <w:p>
            <w:pPr>
              <w:pStyle w:val="Compact"/>
              <w:jc w:val="right"/>
            </w:pPr>
            <w:r>
              <w:t xml:space="preserve">9.709905</w:t>
            </w:r>
          </w:p>
        </w:tc>
        <w:tc>
          <w:p>
            <w:pPr>
              <w:pStyle w:val="Compact"/>
              <w:jc w:val="right"/>
            </w:pPr>
            <w:r>
              <w:t xml:space="preserve">2.052917</w:t>
            </w:r>
          </w:p>
        </w:tc>
        <w:tc>
          <w:p>
            <w:pPr>
              <w:pStyle w:val="Compact"/>
              <w:jc w:val="right"/>
            </w:pPr>
            <w:r>
              <w:t xml:space="preserve">8.177667</w:t>
            </w:r>
          </w:p>
        </w:tc>
      </w:tr>
      <w:tr>
        <w:tc>
          <w:p>
            <w:pPr>
              <w:pStyle w:val="Compact"/>
              <w:jc w:val="left"/>
            </w:pPr>
            <w:r>
              <w:t xml:space="preserve">min</w:t>
            </w:r>
          </w:p>
        </w:tc>
        <w:tc>
          <w:p>
            <w:pPr>
              <w:pStyle w:val="Compact"/>
              <w:jc w:val="right"/>
            </w:pPr>
            <w:r>
              <w:t xml:space="preserve">1.0</w:t>
            </w:r>
          </w:p>
        </w:tc>
        <w:tc>
          <w:p>
            <w:pPr>
              <w:pStyle w:val="Compact"/>
              <w:jc w:val="right"/>
            </w:pPr>
            <w:r>
              <w:t xml:space="preserve">21.000000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-1.454740</w:t>
            </w:r>
          </w:p>
        </w:tc>
        <w:tc>
          <w:p>
            <w:pPr>
              <w:pStyle w:val="Compact"/>
              <w:jc w:val="right"/>
            </w:pPr>
            <w:r>
              <w:t xml:space="preserve">24.657918</w:t>
            </w:r>
          </w:p>
        </w:tc>
        <w:tc>
          <w:p>
            <w:pPr>
              <w:pStyle w:val="Compact"/>
              <w:jc w:val="right"/>
            </w:pPr>
            <w:r>
              <w:t xml:space="preserve">15.547420</w:t>
            </w:r>
          </w:p>
        </w:tc>
        <w:tc>
          <w:p>
            <w:pPr>
              <w:pStyle w:val="Compact"/>
              <w:jc w:val="right"/>
            </w:pPr>
            <w:r>
              <w:t xml:space="preserve">22.695779</w:t>
            </w:r>
          </w:p>
        </w:tc>
        <w:tc>
          <w:p>
            <w:pPr>
              <w:pStyle w:val="Compact"/>
              <w:jc w:val="right"/>
            </w:pPr>
            <w:r>
              <w:t xml:space="preserve">19.204929</w:t>
            </w:r>
          </w:p>
        </w:tc>
        <w:tc>
          <w:p>
            <w:pPr>
              <w:pStyle w:val="Compact"/>
              <w:jc w:val="right"/>
            </w:pPr>
            <w:r>
              <w:t xml:space="preserve">25.744640</w:t>
            </w:r>
          </w:p>
        </w:tc>
        <w:tc>
          <w:p>
            <w:pPr>
              <w:pStyle w:val="Compact"/>
              <w:jc w:val="right"/>
            </w:pPr>
            <w:r>
              <w:t xml:space="preserve">0.000000</w:t>
            </w:r>
          </w:p>
        </w:tc>
        <w:tc>
          <w:p>
            <w:pPr>
              <w:pStyle w:val="Compact"/>
              <w:jc w:val="right"/>
            </w:pPr>
            <w:r>
              <w:t xml:space="preserve">25.115204</w:t>
            </w:r>
          </w:p>
        </w:tc>
      </w:tr>
      <w:tr>
        <w:tc>
          <w:p>
            <w:pPr>
              <w:pStyle w:val="Compact"/>
              <w:jc w:val="left"/>
            </w:pPr>
            <w:r>
              <w:t xml:space="preserve">25%</w:t>
            </w:r>
          </w:p>
        </w:tc>
        <w:tc>
          <w:p>
            <w:pPr>
              <w:pStyle w:val="Compact"/>
              <w:jc w:val="right"/>
            </w:pPr>
            <w:r>
              <w:t xml:space="preserve">1.0</w:t>
            </w:r>
          </w:p>
        </w:tc>
        <w:tc>
          <w:p>
            <w:pPr>
              <w:pStyle w:val="Compact"/>
              <w:jc w:val="right"/>
            </w:pPr>
            <w:r>
              <w:t xml:space="preserve">25.000000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-0.441182</w:t>
            </w:r>
          </w:p>
        </w:tc>
        <w:tc>
          <w:p>
            <w:pPr>
              <w:pStyle w:val="Compact"/>
              <w:jc w:val="right"/>
            </w:pPr>
            <w:r>
              <w:t xml:space="preserve">46.921220</w:t>
            </w:r>
          </w:p>
        </w:tc>
        <w:tc>
          <w:p>
            <w:pPr>
              <w:pStyle w:val="Compact"/>
              <w:jc w:val="right"/>
            </w:pPr>
            <w:r>
              <w:t xml:space="preserve">40.411085</w:t>
            </w:r>
          </w:p>
        </w:tc>
        <w:tc>
          <w:p>
            <w:pPr>
              <w:pStyle w:val="Compact"/>
              <w:jc w:val="right"/>
            </w:pPr>
            <w:r>
              <w:t xml:space="preserve">45.728974</w:t>
            </w:r>
          </w:p>
        </w:tc>
        <w:tc>
          <w:p>
            <w:pPr>
              <w:pStyle w:val="Compact"/>
              <w:jc w:val="right"/>
            </w:pPr>
            <w:r>
              <w:t xml:space="preserve">43.051545</w:t>
            </w:r>
          </w:p>
        </w:tc>
        <w:tc>
          <w:p>
            <w:pPr>
              <w:pStyle w:val="Compact"/>
              <w:jc w:val="right"/>
            </w:pPr>
            <w:r>
              <w:t xml:space="preserve">45.976061</w:t>
            </w:r>
          </w:p>
        </w:tc>
        <w:tc>
          <w:p>
            <w:pPr>
              <w:pStyle w:val="Compact"/>
              <w:jc w:val="right"/>
            </w:pPr>
            <w:r>
              <w:t xml:space="preserve">3.000000</w:t>
            </w:r>
          </w:p>
        </w:tc>
        <w:tc>
          <w:p>
            <w:pPr>
              <w:pStyle w:val="Compact"/>
              <w:jc w:val="right"/>
            </w:pPr>
            <w:r>
              <w:t xml:space="preserve">46.676006</w:t>
            </w:r>
          </w:p>
        </w:tc>
      </w:tr>
      <w:tr>
        <w:tc>
          <w:p>
            <w:pPr>
              <w:pStyle w:val="Compact"/>
              <w:jc w:val="left"/>
            </w:pPr>
            <w:r>
              <w:t xml:space="preserve">50%</w:t>
            </w:r>
          </w:p>
        </w:tc>
        <w:tc>
          <w:p>
            <w:pPr>
              <w:pStyle w:val="Compact"/>
              <w:jc w:val="right"/>
            </w:pPr>
            <w:r>
              <w:t xml:space="preserve">1.0</w:t>
            </w:r>
          </w:p>
        </w:tc>
        <w:tc>
          <w:p>
            <w:pPr>
              <w:pStyle w:val="Compact"/>
              <w:jc w:val="right"/>
            </w:pPr>
            <w:r>
              <w:t xml:space="preserve">26.000000</w:t>
            </w:r>
          </w:p>
        </w:tc>
        <w:tc>
          <w:p>
            <w:pPr>
              <w:pStyle w:val="Compact"/>
              <w:jc w:val="right"/>
            </w:pPr>
            <w:r>
              <w:t xml:space="preserve">0.000000</w:t>
            </w:r>
          </w:p>
        </w:tc>
        <w:tc>
          <w:p>
            <w:pPr>
              <w:pStyle w:val="Compact"/>
              <w:jc w:val="right"/>
            </w:pPr>
            <w:r>
              <w:t xml:space="preserve">1.000000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0.000000</w:t>
            </w:r>
          </w:p>
        </w:tc>
        <w:tc>
          <w:p>
            <w:pPr>
              <w:pStyle w:val="Compact"/>
              <w:jc w:val="right"/>
            </w:pPr>
            <w:r>
              <w:t xml:space="preserve">-0.017913</w:t>
            </w:r>
          </w:p>
        </w:tc>
        <w:tc>
          <w:p>
            <w:pPr>
              <w:pStyle w:val="Compact"/>
              <w:jc w:val="right"/>
            </w:pPr>
            <w:r>
              <w:t xml:space="preserve">54.112760</w:t>
            </w:r>
          </w:p>
        </w:tc>
        <w:tc>
          <w:p>
            <w:pPr>
              <w:pStyle w:val="Compact"/>
              <w:jc w:val="right"/>
            </w:pPr>
            <w:r>
              <w:t xml:space="preserve">47.514989</w:t>
            </w:r>
          </w:p>
        </w:tc>
        <w:tc>
          <w:p>
            <w:pPr>
              <w:pStyle w:val="Compact"/>
              <w:jc w:val="right"/>
            </w:pPr>
            <w:r>
              <w:t xml:space="preserve">51.928395</w:t>
            </w:r>
          </w:p>
        </w:tc>
        <w:tc>
          <w:p>
            <w:pPr>
              <w:pStyle w:val="Compact"/>
              <w:jc w:val="right"/>
            </w:pPr>
            <w:r>
              <w:t xml:space="preserve">49.864864</w:t>
            </w:r>
          </w:p>
        </w:tc>
        <w:tc>
          <w:p>
            <w:pPr>
              <w:pStyle w:val="Compact"/>
              <w:jc w:val="right"/>
            </w:pPr>
            <w:r>
              <w:t xml:space="preserve">51.441617</w:t>
            </w:r>
          </w:p>
        </w:tc>
        <w:tc>
          <w:p>
            <w:pPr>
              <w:pStyle w:val="Compact"/>
              <w:jc w:val="right"/>
            </w:pPr>
            <w:r>
              <w:t xml:space="preserve">5.000000</w:t>
            </w:r>
          </w:p>
        </w:tc>
        <w:tc>
          <w:p>
            <w:pPr>
              <w:pStyle w:val="Compact"/>
              <w:jc w:val="right"/>
            </w:pPr>
            <w:r>
              <w:t xml:space="preserve">51.284846</w:t>
            </w:r>
          </w:p>
        </w:tc>
      </w:tr>
      <w:tr>
        <w:tc>
          <w:p>
            <w:pPr>
              <w:pStyle w:val="Compact"/>
              <w:jc w:val="left"/>
            </w:pPr>
            <w:r>
              <w:t xml:space="preserve">75%</w:t>
            </w:r>
          </w:p>
        </w:tc>
        <w:tc>
          <w:p>
            <w:pPr>
              <w:pStyle w:val="Compact"/>
              <w:jc w:val="right"/>
            </w:pPr>
            <w:r>
              <w:t xml:space="preserve">1.0</w:t>
            </w:r>
          </w:p>
        </w:tc>
        <w:tc>
          <w:p>
            <w:pPr>
              <w:pStyle w:val="Compact"/>
              <w:jc w:val="right"/>
            </w:pPr>
            <w:r>
              <w:t xml:space="preserve">28.000000</w:t>
            </w:r>
          </w:p>
        </w:tc>
        <w:tc>
          <w:p>
            <w:pPr>
              <w:pStyle w:val="Compact"/>
              <w:jc w:val="right"/>
            </w:pPr>
            <w:r>
              <w:t xml:space="preserve">0.000000</w:t>
            </w:r>
          </w:p>
        </w:tc>
        <w:tc>
          <w:p>
            <w:pPr>
              <w:pStyle w:val="Compact"/>
              <w:jc w:val="right"/>
            </w:pPr>
            <w:r>
              <w:t xml:space="preserve">1.000000</w:t>
            </w:r>
          </w:p>
        </w:tc>
        <w:tc>
          <w:p>
            <w:pPr>
              <w:pStyle w:val="Compact"/>
              <w:jc w:val="right"/>
            </w:pPr>
            <w:r>
              <w:t xml:space="preserve">0.000000</w:t>
            </w:r>
          </w:p>
        </w:tc>
        <w:tc>
          <w:p>
            <w:pPr>
              <w:pStyle w:val="Compact"/>
              <w:jc w:val="right"/>
            </w:pPr>
            <w:r>
              <w:t xml:space="preserve">1.000000</w:t>
            </w:r>
          </w:p>
        </w:tc>
        <w:tc>
          <w:p>
            <w:pPr>
              <w:pStyle w:val="Compact"/>
              <w:jc w:val="right"/>
            </w:pPr>
            <w:r>
              <w:t xml:space="preserve">1.000000</w:t>
            </w:r>
          </w:p>
        </w:tc>
        <w:tc>
          <w:p>
            <w:pPr>
              <w:pStyle w:val="Compact"/>
              <w:jc w:val="right"/>
            </w:pPr>
            <w:r>
              <w:t xml:space="preserve">0.000000</w:t>
            </w:r>
          </w:p>
        </w:tc>
        <w:tc>
          <w:p>
            <w:pPr>
              <w:pStyle w:val="Compact"/>
              <w:jc w:val="right"/>
            </w:pPr>
            <w:r>
              <w:t xml:space="preserve">0.746445</w:t>
            </w:r>
          </w:p>
        </w:tc>
        <w:tc>
          <w:p>
            <w:pPr>
              <w:pStyle w:val="Compact"/>
              <w:jc w:val="right"/>
            </w:pPr>
            <w:r>
              <w:t xml:space="preserve">60.335673</w:t>
            </w:r>
          </w:p>
        </w:tc>
        <w:tc>
          <w:p>
            <w:pPr>
              <w:pStyle w:val="Compact"/>
              <w:jc w:val="right"/>
            </w:pPr>
            <w:r>
              <w:t xml:space="preserve">54.618894</w:t>
            </w:r>
          </w:p>
        </w:tc>
        <w:tc>
          <w:p>
            <w:pPr>
              <w:pStyle w:val="Compact"/>
              <w:jc w:val="right"/>
            </w:pPr>
            <w:r>
              <w:t xml:space="preserve">60.252215</w:t>
            </w:r>
          </w:p>
        </w:tc>
        <w:tc>
          <w:p>
            <w:pPr>
              <w:pStyle w:val="Compact"/>
              <w:jc w:val="right"/>
            </w:pPr>
            <w:r>
              <w:t xml:space="preserve">56.579800</w:t>
            </w:r>
          </w:p>
        </w:tc>
        <w:tc>
          <w:p>
            <w:pPr>
              <w:pStyle w:val="Compact"/>
              <w:jc w:val="right"/>
            </w:pPr>
            <w:r>
              <w:t xml:space="preserve">59.639951</w:t>
            </w:r>
          </w:p>
        </w:tc>
        <w:tc>
          <w:p>
            <w:pPr>
              <w:pStyle w:val="Compact"/>
              <w:jc w:val="right"/>
            </w:pPr>
            <w:r>
              <w:t xml:space="preserve">6.000000</w:t>
            </w:r>
          </w:p>
        </w:tc>
        <w:tc>
          <w:p>
            <w:pPr>
              <w:pStyle w:val="Compact"/>
              <w:jc w:val="right"/>
            </w:pPr>
            <w:r>
              <w:t xml:space="preserve">57.021384</w:t>
            </w:r>
          </w:p>
        </w:tc>
      </w:tr>
      <w:tr>
        <w:tc>
          <w:p>
            <w:pPr>
              <w:pStyle w:val="Compact"/>
              <w:jc w:val="left"/>
            </w:pPr>
            <w:r>
              <w:t xml:space="preserve">max</w:t>
            </w:r>
          </w:p>
        </w:tc>
        <w:tc>
          <w:p>
            <w:pPr>
              <w:pStyle w:val="Compact"/>
              <w:jc w:val="right"/>
            </w:pPr>
            <w:r>
              <w:t xml:space="preserve">1.0</w:t>
            </w:r>
          </w:p>
        </w:tc>
        <w:tc>
          <w:p>
            <w:pPr>
              <w:pStyle w:val="Compact"/>
              <w:jc w:val="right"/>
            </w:pPr>
            <w:r>
              <w:t xml:space="preserve">35.000000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1.000000</w:t>
            </w:r>
          </w:p>
        </w:tc>
        <w:tc>
          <w:p>
            <w:pPr>
              <w:pStyle w:val="Compact"/>
              <w:jc w:val="right"/>
            </w:pPr>
            <w:r>
              <w:t xml:space="preserve">12.017992</w:t>
            </w:r>
          </w:p>
        </w:tc>
        <w:tc>
          <w:p>
            <w:pPr>
              <w:pStyle w:val="Compact"/>
              <w:jc w:val="right"/>
            </w:pPr>
            <w:r>
              <w:t xml:space="preserve">71.313444</w:t>
            </w:r>
          </w:p>
        </w:tc>
        <w:tc>
          <w:p>
            <w:pPr>
              <w:pStyle w:val="Compact"/>
              <w:jc w:val="right"/>
            </w:pPr>
            <w:r>
              <w:t xml:space="preserve">62.700246</w:t>
            </w:r>
          </w:p>
        </w:tc>
        <w:tc>
          <w:p>
            <w:pPr>
              <w:pStyle w:val="Compact"/>
              <w:jc w:val="right"/>
            </w:pPr>
            <w:r>
              <w:t xml:space="preserve">69.467964</w:t>
            </w:r>
          </w:p>
        </w:tc>
        <w:tc>
          <w:p>
            <w:pPr>
              <w:pStyle w:val="Compact"/>
              <w:jc w:val="right"/>
            </w:pPr>
            <w:r>
              <w:t xml:space="preserve">66.898161</w:t>
            </w:r>
          </w:p>
        </w:tc>
        <w:tc>
          <w:p>
            <w:pPr>
              <w:pStyle w:val="Compact"/>
              <w:jc w:val="right"/>
            </w:pPr>
            <w:r>
              <w:t xml:space="preserve">76.602746</w:t>
            </w:r>
          </w:p>
        </w:tc>
        <w:tc>
          <w:p>
            <w:pPr>
              <w:pStyle w:val="Compact"/>
              <w:jc w:val="right"/>
            </w:pPr>
            <w:r>
              <w:t xml:space="preserve">9.000000</w:t>
            </w:r>
          </w:p>
        </w:tc>
        <w:tc>
          <w:p>
            <w:pPr>
              <w:pStyle w:val="Compact"/>
              <w:jc w:val="right"/>
            </w:pPr>
            <w:r>
              <w:t xml:space="preserve">72.007488</w:t>
            </w:r>
          </w:p>
        </w:tc>
      </w:tr>
    </w:tbl>
    <w:p>
      <w:pPr>
        <w:pStyle w:val="Heading1"/>
      </w:pPr>
      <w:bookmarkStart w:id="36" w:name="references"/>
      <w:bookmarkEnd w:id="36"/>
      <w:r>
        <w:t xml:space="preserve">References</w:t>
      </w:r>
    </w:p>
    <w:p>
      <w:pPr>
        <w:pStyle w:val="FirstParagraph"/>
      </w:pPr>
      <w:r>
        <w:t xml:space="preserve">Buck, N., &amp; Scott, J. (1993).</w:t>
      </w:r>
      <w:r>
        <w:t xml:space="preserve"> </w:t>
      </w:r>
      <w:r>
        <w:t xml:space="preserve">Shes Leaving Home: But Why? An Analysis of Young People Leaving the Parental Home</w:t>
      </w:r>
      <w:r>
        <w:t xml:space="preserve">.</w:t>
      </w:r>
      <w:r>
        <w:t xml:space="preserve"> </w:t>
      </w:r>
      <w:r>
        <w:rPr>
          <w:i/>
        </w:rPr>
        <w:t xml:space="preserve">Journal of Marriage and the Family</w:t>
      </w:r>
      <w:r>
        <w:t xml:space="preserve">,</w:t>
      </w:r>
      <w:r>
        <w:t xml:space="preserve"> </w:t>
      </w:r>
      <w:r>
        <w:rPr>
          <w:i/>
        </w:rPr>
        <w:t xml:space="preserve">55</w:t>
      </w:r>
      <w:r>
        <w:t xml:space="preserve">(4), 863.</w:t>
      </w:r>
      <w:r>
        <w:t xml:space="preserve"> </w:t>
      </w:r>
      <w:hyperlink r:id="rId37">
        <w:r>
          <w:rPr>
            <w:rStyle w:val="Hyperlink"/>
          </w:rPr>
          <w:t xml:space="preserve">http://doi.org/10.2307/352768</w:t>
        </w:r>
      </w:hyperlink>
    </w:p>
    <w:p>
      <w:pPr>
        <w:pStyle w:val="BodyText"/>
      </w:pPr>
      <w:r>
        <w:t xml:space="preserve">ROY, A. D. (1951).</w:t>
      </w:r>
      <w:r>
        <w:t xml:space="preserve"> </w:t>
      </w:r>
      <w:r>
        <w:t xml:space="preserve">SOME</w:t>
      </w:r>
      <w:r>
        <w:t xml:space="preserve"> </w:t>
      </w:r>
      <w:r>
        <w:t xml:space="preserve">THOUGHTS</w:t>
      </w:r>
      <w:r>
        <w:t xml:space="preserve"> </w:t>
      </w:r>
      <w:r>
        <w:t xml:space="preserve">ON</w:t>
      </w:r>
      <w:r>
        <w:t xml:space="preserve"> </w:t>
      </w:r>
      <w:r>
        <w:t xml:space="preserve">THE</w:t>
      </w:r>
      <w:r>
        <w:t xml:space="preserve"> </w:t>
      </w:r>
      <w:r>
        <w:t xml:space="preserve">DISTRIBUTION</w:t>
      </w:r>
      <w:r>
        <w:t xml:space="preserve"> </w:t>
      </w:r>
      <w:r>
        <w:t xml:space="preserve">OF</w:t>
      </w:r>
      <w:r>
        <w:t xml:space="preserve"> </w:t>
      </w:r>
      <w:r>
        <w:t xml:space="preserve">EARNINGS</w:t>
      </w:r>
      <w:r>
        <w:t xml:space="preserve">,</w:t>
      </w:r>
      <w:r>
        <w:t xml:space="preserve"> </w:t>
      </w:r>
      <w:r>
        <w:rPr>
          <w:i/>
        </w:rPr>
        <w:t xml:space="preserve">3</w:t>
      </w:r>
      <w:r>
        <w:t xml:space="preserve">(2), 135–146.</w:t>
      </w:r>
      <w:r>
        <w:t xml:space="preserve"> </w:t>
      </w:r>
      <w:hyperlink r:id="rId38">
        <w:r>
          <w:rPr>
            <w:rStyle w:val="Hyperlink"/>
          </w:rPr>
          <w:t xml:space="preserve">http://doi.org/10.1093/oxfordjournals.oep.a041827</w:t>
        </w:r>
      </w:hyperlink>
    </w:p>
    <w:p>
      <w:pPr>
        <w:pStyle w:val="BodyText"/>
      </w:pPr>
      <w:r>
        <w:t xml:space="preserve">Kiernan, K. (1986).</w:t>
      </w:r>
      <w:r>
        <w:t xml:space="preserve"> </w:t>
      </w:r>
      <w:r>
        <w:t xml:space="preserve">Leaving home: Living arrangements of young people in six west-European countries</w:t>
      </w:r>
      <w:r>
        <w:t xml:space="preserve">.</w:t>
      </w:r>
      <w:r>
        <w:t xml:space="preserve"> </w:t>
      </w:r>
      <w:r>
        <w:rPr>
          <w:i/>
        </w:rPr>
        <w:t xml:space="preserve">European Journal of Population</w:t>
      </w:r>
      <w:r>
        <w:t xml:space="preserve">,</w:t>
      </w:r>
      <w:r>
        <w:t xml:space="preserve"> </w:t>
      </w:r>
      <w:r>
        <w:rPr>
          <w:i/>
        </w:rPr>
        <w:t xml:space="preserve">2</w:t>
      </w:r>
      <w:r>
        <w:t xml:space="preserve">(2), 177–184.</w:t>
      </w:r>
      <w:r>
        <w:t xml:space="preserve"> </w:t>
      </w:r>
      <w:hyperlink r:id="rId39">
        <w:r>
          <w:rPr>
            <w:rStyle w:val="Hyperlink"/>
          </w:rPr>
          <w:t xml:space="preserve">http://doi.org/10.1007/bf01796889</w:t>
        </w:r>
      </w:hyperlink>
    </w:p>
    <w:p>
      <w:pPr>
        <w:pStyle w:val="BodyText"/>
      </w:pPr>
      <w:r>
        <w:t xml:space="preserve">Holdsworth, C. (2000).</w:t>
      </w:r>
      <w:r>
        <w:t xml:space="preserve"> </w:t>
      </w:r>
      <w:r>
        <w:t xml:space="preserve">Leaving Home in Britain and Spain</w:t>
      </w:r>
      <w:r>
        <w:t xml:space="preserve">.</w:t>
      </w:r>
      <w:r>
        <w:t xml:space="preserve"> </w:t>
      </w:r>
      <w:r>
        <w:rPr>
          <w:i/>
        </w:rPr>
        <w:t xml:space="preserve">European Sociological Review</w:t>
      </w:r>
      <w:r>
        <w:t xml:space="preserve">,</w:t>
      </w:r>
      <w:r>
        <w:t xml:space="preserve"> </w:t>
      </w:r>
      <w:r>
        <w:rPr>
          <w:i/>
        </w:rPr>
        <w:t xml:space="preserve">16</w:t>
      </w:r>
      <w:r>
        <w:t xml:space="preserve">(2), 201–222.</w:t>
      </w:r>
      <w:r>
        <w:t xml:space="preserve"> </w:t>
      </w:r>
      <w:hyperlink r:id="rId40">
        <w:r>
          <w:rPr>
            <w:rStyle w:val="Hyperlink"/>
          </w:rPr>
          <w:t xml:space="preserve">http://doi.org/10.1093/esr/16.2.201</w:t>
        </w:r>
      </w:hyperlink>
    </w:p>
    <w:p>
      <w:pPr>
        <w:pStyle w:val="BodyText"/>
      </w:pPr>
      <w:r>
        <w:t xml:space="preserve">Billari, F. C., Philipov, D., &amp; Baiz</w:t>
      </w:r>
      <w:r>
        <w:t xml:space="preserve">á</w:t>
      </w:r>
      <w:r>
        <w:t xml:space="preserve">n, P. (2001).</w:t>
      </w:r>
      <w:r>
        <w:t xml:space="preserve"> </w:t>
      </w:r>
      <w:r>
        <w:t xml:space="preserve">Leaving Home in Europe: The Experience of Cohorts Born Around 1960</w:t>
      </w:r>
      <w:r>
        <w:t xml:space="preserve">.</w:t>
      </w:r>
      <w:r>
        <w:t xml:space="preserve"> </w:t>
      </w:r>
      <w:r>
        <w:rPr>
          <w:i/>
        </w:rPr>
        <w:t xml:space="preserve">International Journal of Population Geography</w:t>
      </w:r>
      <w:r>
        <w:t xml:space="preserve">,</w:t>
      </w:r>
      <w:r>
        <w:t xml:space="preserve"> </w:t>
      </w:r>
      <w:r>
        <w:rPr>
          <w:i/>
        </w:rPr>
        <w:t xml:space="preserve">7</w:t>
      </w:r>
      <w:r>
        <w:t xml:space="preserve">(5), 339–356.</w:t>
      </w:r>
      <w:r>
        <w:t xml:space="preserve"> </w:t>
      </w:r>
      <w:hyperlink r:id="rId41">
        <w:r>
          <w:rPr>
            <w:rStyle w:val="Hyperlink"/>
          </w:rPr>
          <w:t xml:space="preserve">http://doi.org/10.1002/ijpg.231</w:t>
        </w:r>
      </w:hyperlink>
    </w:p>
    <w:p>
      <w:pPr>
        <w:pStyle w:val="BodyText"/>
      </w:pPr>
      <w:r>
        <w:t xml:space="preserve">Aassve, A., Billari, F. C., Mazzuco, S., &amp; Ongaro, F. (2002).</w:t>
      </w:r>
      <w:r>
        <w:t xml:space="preserve"> </w:t>
      </w:r>
      <w:r>
        <w:t xml:space="preserve">Leaving home: a comparative analysis of</w:t>
      </w:r>
      <w:r>
        <w:t xml:space="preserve"> </w:t>
      </w:r>
      <w:r>
        <w:t xml:space="preserve">ECHP</w:t>
      </w:r>
      <w:r>
        <w:t xml:space="preserve"> </w:t>
      </w:r>
      <w:r>
        <w:t xml:space="preserve">data</w:t>
      </w:r>
      <w:r>
        <w:t xml:space="preserve">.</w:t>
      </w:r>
      <w:r>
        <w:t xml:space="preserve"> </w:t>
      </w:r>
      <w:r>
        <w:rPr>
          <w:i/>
        </w:rPr>
        <w:t xml:space="preserve">Journal of European Social Policy</w:t>
      </w:r>
      <w:r>
        <w:t xml:space="preserve">,</w:t>
      </w:r>
      <w:r>
        <w:t xml:space="preserve"> </w:t>
      </w:r>
      <w:r>
        <w:rPr>
          <w:i/>
        </w:rPr>
        <w:t xml:space="preserve">12</w:t>
      </w:r>
      <w:r>
        <w:t xml:space="preserve">(4), 259–275.</w:t>
      </w:r>
      <w:r>
        <w:t xml:space="preserve"> </w:t>
      </w:r>
      <w:hyperlink r:id="rId42">
        <w:r>
          <w:rPr>
            <w:rStyle w:val="Hyperlink"/>
          </w:rPr>
          <w:t xml:space="preserve">http://doi.org/10.1177/a028430</w:t>
        </w:r>
      </w:hyperlink>
    </w:p>
    <w:p>
      <w:pPr>
        <w:pStyle w:val="BodyText"/>
      </w:pPr>
      <w:r>
        <w:t xml:space="preserve">Aassve, A., Burgess, S., Chesher, A., &amp; Propper, C. (2002).</w:t>
      </w:r>
      <w:r>
        <w:t xml:space="preserve"> </w:t>
      </w:r>
      <w:r>
        <w:t xml:space="preserve">Transitions from home to marriage of young Americans</w:t>
      </w:r>
      <w:r>
        <w:t xml:space="preserve">.</w:t>
      </w:r>
      <w:r>
        <w:t xml:space="preserve"> </w:t>
      </w:r>
      <w:r>
        <w:rPr>
          <w:i/>
        </w:rPr>
        <w:t xml:space="preserve">Journal of Applied Econometrics</w:t>
      </w:r>
      <w:r>
        <w:t xml:space="preserve">,</w:t>
      </w:r>
      <w:r>
        <w:t xml:space="preserve"> </w:t>
      </w:r>
      <w:r>
        <w:rPr>
          <w:i/>
        </w:rPr>
        <w:t xml:space="preserve">17</w:t>
      </w:r>
      <w:r>
        <w:t xml:space="preserve">(1), 1–23.</w:t>
      </w:r>
      <w:r>
        <w:t xml:space="preserve"> </w:t>
      </w:r>
      <w:hyperlink r:id="rId43">
        <w:r>
          <w:rPr>
            <w:rStyle w:val="Hyperlink"/>
          </w:rPr>
          <w:t xml:space="preserve">http://doi.org/10.1002/jae.636</w:t>
        </w:r>
      </w:hyperlink>
    </w:p>
    <w:p>
      <w:pPr>
        <w:pStyle w:val="BodyText"/>
      </w:pPr>
      <w:r>
        <w:t xml:space="preserve">Laferr</w:t>
      </w:r>
      <w:r>
        <w:t xml:space="preserve">è</w:t>
      </w:r>
      <w:r>
        <w:t xml:space="preserve">re, A., &amp; Blanc, D. L. (2004).</w:t>
      </w:r>
      <w:r>
        <w:t xml:space="preserve"> </w:t>
      </w:r>
      <w:r>
        <w:t xml:space="preserve">How do housing allowances affect rents? An empirical analysis of the French case</w:t>
      </w:r>
      <w:r>
        <w:t xml:space="preserve">.</w:t>
      </w:r>
      <w:r>
        <w:t xml:space="preserve"> </w:t>
      </w:r>
      <w:r>
        <w:rPr>
          <w:i/>
        </w:rPr>
        <w:t xml:space="preserve">Journal of Housing Economics</w:t>
      </w:r>
      <w:r>
        <w:t xml:space="preserve">,</w:t>
      </w:r>
      <w:r>
        <w:t xml:space="preserve"> </w:t>
      </w:r>
      <w:r>
        <w:rPr>
          <w:i/>
        </w:rPr>
        <w:t xml:space="preserve">13</w:t>
      </w:r>
      <w:r>
        <w:t xml:space="preserve">(1), 36–67.</w:t>
      </w:r>
      <w:r>
        <w:t xml:space="preserve"> </w:t>
      </w:r>
      <w:hyperlink r:id="rId44">
        <w:r>
          <w:rPr>
            <w:rStyle w:val="Hyperlink"/>
          </w:rPr>
          <w:t xml:space="preserve">http://doi.org/10.1016/j.jhe.2004.02.001</w:t>
        </w:r>
      </w:hyperlink>
    </w:p>
    <w:p>
      <w:pPr>
        <w:pStyle w:val="BodyText"/>
      </w:pPr>
      <w:r>
        <w:t xml:space="preserve">Laferrere, A. (2004).</w:t>
      </w:r>
      <w:r>
        <w:t xml:space="preserve"> </w:t>
      </w:r>
      <w:r>
        <w:t xml:space="preserve">Gone with the Windfall: How Do Housing Allowances Affect Student Co-residence?</w:t>
      </w:r>
      <w:r>
        <w:t xml:space="preserve">.</w:t>
      </w:r>
      <w:r>
        <w:t xml:space="preserve"> </w:t>
      </w:r>
      <w:r>
        <w:rPr>
          <w:i/>
        </w:rPr>
        <w:t xml:space="preserve">CESifo</w:t>
      </w:r>
      <w:r>
        <w:rPr>
          <w:i/>
        </w:rPr>
        <w:t xml:space="preserve"> </w:t>
      </w:r>
      <w:r>
        <w:rPr>
          <w:i/>
        </w:rPr>
        <w:t xml:space="preserve">Economic Studies</w:t>
      </w:r>
      <w:r>
        <w:t xml:space="preserve">,</w:t>
      </w:r>
      <w:r>
        <w:t xml:space="preserve"> </w:t>
      </w:r>
      <w:r>
        <w:rPr>
          <w:i/>
        </w:rPr>
        <w:t xml:space="preserve">50</w:t>
      </w:r>
      <w:r>
        <w:t xml:space="preserve">(3), 451–477.</w:t>
      </w:r>
      <w:r>
        <w:t xml:space="preserve"> </w:t>
      </w:r>
      <w:hyperlink r:id="rId45">
        <w:r>
          <w:rPr>
            <w:rStyle w:val="Hyperlink"/>
          </w:rPr>
          <w:t xml:space="preserve">http://doi.org/10.1093/cesifo/50.3.451</w:t>
        </w:r>
      </w:hyperlink>
    </w:p>
    <w:p>
      <w:pPr>
        <w:pStyle w:val="BodyText"/>
      </w:pPr>
      <w:r>
        <w:t xml:space="preserve">Roy, A. D. (1951).</w:t>
      </w:r>
      <w:r>
        <w:t xml:space="preserve"> </w:t>
      </w:r>
      <w:r>
        <w:t xml:space="preserve">Some</w:t>
      </w:r>
      <w:r>
        <w:t xml:space="preserve"> </w:t>
      </w:r>
      <w:r>
        <w:t xml:space="preserve">Thoughts</w:t>
      </w:r>
      <w:r>
        <w:t xml:space="preserve"> </w:t>
      </w:r>
      <w:r>
        <w:t xml:space="preserve">on</w:t>
      </w:r>
      <w:r>
        <w:t xml:space="preserve"> </w:t>
      </w:r>
      <w:r>
        <w:t xml:space="preserve">the</w:t>
      </w:r>
      <w:r>
        <w:t xml:space="preserve"> </w:t>
      </w:r>
      <w:r>
        <w:t xml:space="preserve">Distribution</w:t>
      </w:r>
      <w:r>
        <w:t xml:space="preserve"> </w:t>
      </w:r>
      <w:r>
        <w:t xml:space="preserve">of</w:t>
      </w:r>
      <w:r>
        <w:t xml:space="preserve"> </w:t>
      </w:r>
      <w:r>
        <w:t xml:space="preserve">Earnings</w:t>
      </w:r>
      <w:r>
        <w:t xml:space="preserve">,</w:t>
      </w:r>
      <w:r>
        <w:t xml:space="preserve"> </w:t>
      </w:r>
      <w:r>
        <w:rPr>
          <w:i/>
        </w:rPr>
        <w:t xml:space="preserve">3</w:t>
      </w:r>
      <w:r>
        <w:t xml:space="preserve">(2), 135–146.</w:t>
      </w:r>
      <w:r>
        <w:t xml:space="preserve"> </w:t>
      </w:r>
      <w:hyperlink r:id="rId38">
        <w:r>
          <w:rPr>
            <w:rStyle w:val="Hyperlink"/>
          </w:rPr>
          <w:t xml:space="preserve">http://doi.org/10.1093/oxfordjournals.oep.a041827</w:t>
        </w:r>
      </w:hyperlink>
    </w:p>
    <w:p>
      <w:pPr>
        <w:pStyle w:val="BodyText"/>
      </w:pPr>
      <w:r>
        <w:t xml:space="preserve">Heckman, J., &amp; Vytlacil, E. (2005).</w:t>
      </w:r>
      <w:r>
        <w:t xml:space="preserve"> </w:t>
      </w:r>
      <w:r>
        <w:rPr>
          <w:i/>
        </w:rPr>
        <w:t xml:space="preserve">Structural Equations Treatment Effects and Econometric Policy Evaluation</w:t>
      </w:r>
      <w:r>
        <w:t xml:space="preserve">. National Bureau of Economic Research. Retrieved from</w:t>
      </w:r>
      <w:r>
        <w:t xml:space="preserve"> </w:t>
      </w:r>
      <w:hyperlink r:id="rId46">
        <w:r>
          <w:rPr>
            <w:rStyle w:val="Hyperlink"/>
          </w:rPr>
          <w:t xml:space="preserve">https://doi.org/10.3386%2Fw11259</w:t>
        </w:r>
      </w:hyperlink>
    </w:p>
    <w:p>
      <w:pPr>
        <w:pStyle w:val="BodyText"/>
      </w:pPr>
      <w:r>
        <w:t xml:space="preserve">Heckman, J. J. (2001).</w:t>
      </w:r>
      <w:r>
        <w:t xml:space="preserve"> </w:t>
      </w:r>
      <w:r>
        <w:t xml:space="preserve">Micro Data Heterogeneity, and the Evaluation of Public Policy: Nobel Lecture</w:t>
      </w:r>
      <w:r>
        <w:t xml:space="preserve">.</w:t>
      </w:r>
      <w:r>
        <w:t xml:space="preserve"> </w:t>
      </w:r>
      <w:r>
        <w:rPr>
          <w:i/>
        </w:rPr>
        <w:t xml:space="preserve">Journal of Political Economy</w:t>
      </w:r>
      <w:r>
        <w:t xml:space="preserve">,</w:t>
      </w:r>
      <w:r>
        <w:t xml:space="preserve"> </w:t>
      </w:r>
      <w:r>
        <w:rPr>
          <w:i/>
        </w:rPr>
        <w:t xml:space="preserve">109</w:t>
      </w:r>
      <w:r>
        <w:t xml:space="preserve">(4), 673–748.</w:t>
      </w:r>
      <w:r>
        <w:t xml:space="preserve"> </w:t>
      </w:r>
      <w:hyperlink r:id="rId47">
        <w:r>
          <w:rPr>
            <w:rStyle w:val="Hyperlink"/>
          </w:rPr>
          <w:t xml:space="preserve">http://doi.org/10.1086/322086</w:t>
        </w:r>
      </w:hyperlink>
    </w:p>
    <w:p>
      <w:pPr>
        <w:pStyle w:val="BodyText"/>
      </w:pPr>
      <w:r>
        <w:t xml:space="preserve">Roy, A. D. (1951).</w:t>
      </w:r>
      <w:r>
        <w:t xml:space="preserve"> </w:t>
      </w:r>
      <w:r>
        <w:t xml:space="preserve">Some</w:t>
      </w:r>
      <w:r>
        <w:t xml:space="preserve"> </w:t>
      </w:r>
      <w:r>
        <w:t xml:space="preserve">Thoughts</w:t>
      </w:r>
      <w:r>
        <w:t xml:space="preserve"> </w:t>
      </w:r>
      <w:r>
        <w:t xml:space="preserve">on</w:t>
      </w:r>
      <w:r>
        <w:t xml:space="preserve"> </w:t>
      </w:r>
      <w:r>
        <w:t xml:space="preserve">the</w:t>
      </w:r>
      <w:r>
        <w:t xml:space="preserve"> </w:t>
      </w:r>
      <w:r>
        <w:t xml:space="preserve">Distribution</w:t>
      </w:r>
      <w:r>
        <w:t xml:space="preserve"> </w:t>
      </w:r>
      <w:r>
        <w:t xml:space="preserve">of</w:t>
      </w:r>
      <w:r>
        <w:t xml:space="preserve"> </w:t>
      </w:r>
      <w:r>
        <w:t xml:space="preserve">Earnings</w:t>
      </w:r>
      <w:r>
        <w:t xml:space="preserve">,</w:t>
      </w:r>
      <w:r>
        <w:t xml:space="preserve"> </w:t>
      </w:r>
      <w:r>
        <w:rPr>
          <w:i/>
        </w:rPr>
        <w:t xml:space="preserve">3</w:t>
      </w:r>
      <w:r>
        <w:t xml:space="preserve">(2), 135–146.</w:t>
      </w:r>
      <w:r>
        <w:t xml:space="preserve"> </w:t>
      </w:r>
      <w:hyperlink r:id="rId38">
        <w:r>
          <w:rPr>
            <w:rStyle w:val="Hyperlink"/>
          </w:rPr>
          <w:t xml:space="preserve">http://doi.org/10.1093/oxfordjournals.oep.a041827</w:t>
        </w:r>
      </w:hyperlink>
    </w:p>
    <w:p>
      <w:pPr>
        <w:pStyle w:val="BodyText"/>
      </w:pPr>
      <w:r>
        <w:t xml:space="preserve">Laferrere, A. (2004).</w:t>
      </w:r>
      <w:r>
        <w:t xml:space="preserve"> </w:t>
      </w:r>
      <w:r>
        <w:t xml:space="preserve">Gone with the Windfall: How Do Housing Allowances Affect Student Co-residence?</w:t>
      </w:r>
      <w:r>
        <w:t xml:space="preserve">.</w:t>
      </w:r>
      <w:r>
        <w:t xml:space="preserve"> </w:t>
      </w:r>
      <w:r>
        <w:rPr>
          <w:i/>
        </w:rPr>
        <w:t xml:space="preserve">CESifo</w:t>
      </w:r>
      <w:r>
        <w:rPr>
          <w:i/>
        </w:rPr>
        <w:t xml:space="preserve"> </w:t>
      </w:r>
      <w:r>
        <w:rPr>
          <w:i/>
        </w:rPr>
        <w:t xml:space="preserve">Economic Studies</w:t>
      </w:r>
      <w:r>
        <w:t xml:space="preserve">,</w:t>
      </w:r>
      <w:r>
        <w:t xml:space="preserve"> </w:t>
      </w:r>
      <w:r>
        <w:rPr>
          <w:i/>
        </w:rPr>
        <w:t xml:space="preserve">50</w:t>
      </w:r>
      <w:r>
        <w:t xml:space="preserve">(3), 451–477.</w:t>
      </w:r>
      <w:r>
        <w:t xml:space="preserve"> </w:t>
      </w:r>
      <w:hyperlink r:id="rId45">
        <w:r>
          <w:rPr>
            <w:rStyle w:val="Hyperlink"/>
          </w:rPr>
          <w:t xml:space="preserve">http://doi.org/10.1093/cesifo/50.3.451</w:t>
        </w:r>
      </w:hyperlink>
    </w:p>
    <w:p>
      <w:pPr>
        <w:pStyle w:val="BodyText"/>
      </w:pPr>
      <w:r>
        <w:t xml:space="preserve">Jeong, Y.-J., Hamplov</w:t>
      </w:r>
      <w:r>
        <w:t xml:space="preserve">á</w:t>
      </w:r>
      <w:r>
        <w:t xml:space="preserve">, D., &amp; Bourdais, C. L. (2013).</w:t>
      </w:r>
      <w:r>
        <w:t xml:space="preserve"> </w:t>
      </w:r>
      <w:r>
        <w:t xml:space="preserve">Diversity of Young Adults Living Arrangements: The Role of Ethnicity and Immigration</w:t>
      </w:r>
      <w:r>
        <w:t xml:space="preserve">.</w:t>
      </w:r>
      <w:r>
        <w:t xml:space="preserve"> </w:t>
      </w:r>
      <w:r>
        <w:rPr>
          <w:i/>
        </w:rPr>
        <w:t xml:space="preserve">Journal of Ethnic and Migration Studies</w:t>
      </w:r>
      <w:r>
        <w:t xml:space="preserve">,</w:t>
      </w:r>
      <w:r>
        <w:t xml:space="preserve"> </w:t>
      </w:r>
      <w:r>
        <w:rPr>
          <w:i/>
        </w:rPr>
        <w:t xml:space="preserve">40</w:t>
      </w:r>
      <w:r>
        <w:t xml:space="preserve">(7), 1116–1135.</w:t>
      </w:r>
      <w:r>
        <w:t xml:space="preserve"> </w:t>
      </w:r>
      <w:hyperlink r:id="rId48">
        <w:r>
          <w:rPr>
            <w:rStyle w:val="Hyperlink"/>
          </w:rPr>
          <w:t xml:space="preserve">http://doi.org/10.1080/1369183x.2013.831523</w:t>
        </w:r>
      </w:hyperlink>
    </w:p>
    <w:p>
      <w:pPr>
        <w:pStyle w:val="BodyText"/>
      </w:pPr>
      <w:r>
        <w:t xml:space="preserve">Allport, G. W., &amp; Odbert, H. S. (1936).</w:t>
      </w:r>
      <w:r>
        <w:t xml:space="preserve"> </w:t>
      </w:r>
      <w:r>
        <w:t xml:space="preserve">Trait-names: A psycho-lexical study.</w:t>
      </w:r>
      <w:r>
        <w:t xml:space="preserve">.</w:t>
      </w:r>
      <w:r>
        <w:t xml:space="preserve"> </w:t>
      </w:r>
      <w:r>
        <w:rPr>
          <w:i/>
        </w:rPr>
        <w:t xml:space="preserve">Psychological Monographs</w:t>
      </w:r>
      <w:r>
        <w:t xml:space="preserve">,</w:t>
      </w:r>
      <w:r>
        <w:t xml:space="preserve"> </w:t>
      </w:r>
      <w:r>
        <w:rPr>
          <w:i/>
        </w:rPr>
        <w:t xml:space="preserve">47</w:t>
      </w:r>
      <w:r>
        <w:t xml:space="preserve">(1), i–171.</w:t>
      </w:r>
      <w:r>
        <w:t xml:space="preserve"> </w:t>
      </w:r>
      <w:hyperlink r:id="rId49">
        <w:r>
          <w:rPr>
            <w:rStyle w:val="Hyperlink"/>
          </w:rPr>
          <w:t xml:space="preserve">http://doi.org/10.1037/h0093360</w:t>
        </w:r>
      </w:hyperlink>
    </w:p>
    <w:p>
      <w:pPr>
        <w:pStyle w:val="BodyText"/>
      </w:pPr>
      <w:r>
        <w:t xml:space="preserve">Caliendo, M., Fossen, F., &amp; Kritikos, A. S. (2013).</w:t>
      </w:r>
      <w:r>
        <w:t xml:space="preserve"> </w:t>
      </w:r>
      <w:r>
        <w:t xml:space="preserve">Personality characteristics and the decisions to become and stay self-employed</w:t>
      </w:r>
      <w:r>
        <w:t xml:space="preserve">.</w:t>
      </w:r>
      <w:r>
        <w:t xml:space="preserve"> </w:t>
      </w:r>
      <w:r>
        <w:rPr>
          <w:i/>
        </w:rPr>
        <w:t xml:space="preserve">Small Business Economics</w:t>
      </w:r>
      <w:r>
        <w:t xml:space="preserve">,</w:t>
      </w:r>
      <w:r>
        <w:t xml:space="preserve"> </w:t>
      </w:r>
      <w:r>
        <w:rPr>
          <w:i/>
        </w:rPr>
        <w:t xml:space="preserve">42</w:t>
      </w:r>
      <w:r>
        <w:t xml:space="preserve">(4), 787–814.</w:t>
      </w:r>
      <w:r>
        <w:t xml:space="preserve"> </w:t>
      </w:r>
      <w:hyperlink r:id="rId50">
        <w:r>
          <w:rPr>
            <w:rStyle w:val="Hyperlink"/>
          </w:rPr>
          <w:t xml:space="preserve">http://doi.org/10.1007/s11187-013-9514-8</w:t>
        </w:r>
      </w:hyperlink>
    </w:p>
    <w:p>
      <w:pPr>
        <w:pStyle w:val="BodyText"/>
      </w:pPr>
      <w:r>
        <w:t xml:space="preserve">McCrae, R. R. (1987).</w:t>
      </w:r>
      <w:r>
        <w:t xml:space="preserve"> </w:t>
      </w:r>
      <w:r>
        <w:t xml:space="preserve">Creativity divergent thinking, and openness to experience.</w:t>
      </w:r>
      <w:r>
        <w:t xml:space="preserve">.</w:t>
      </w:r>
      <w:r>
        <w:t xml:space="preserve"> </w:t>
      </w:r>
      <w:r>
        <w:rPr>
          <w:i/>
        </w:rPr>
        <w:t xml:space="preserve">Journal of Personality and Social Psychology</w:t>
      </w:r>
      <w:r>
        <w:t xml:space="preserve">,</w:t>
      </w:r>
      <w:r>
        <w:t xml:space="preserve"> </w:t>
      </w:r>
      <w:r>
        <w:rPr>
          <w:i/>
        </w:rPr>
        <w:t xml:space="preserve">52</w:t>
      </w:r>
      <w:r>
        <w:t xml:space="preserve">(6), 1258–1265.</w:t>
      </w:r>
      <w:r>
        <w:t xml:space="preserve"> </w:t>
      </w:r>
      <w:hyperlink r:id="rId51">
        <w:r>
          <w:rPr>
            <w:rStyle w:val="Hyperlink"/>
          </w:rPr>
          <w:t xml:space="preserve">http://doi.org/10.1037/0022-3514.52.6.1258</w:t>
        </w:r>
      </w:hyperlink>
    </w:p>
    <w:p>
      <w:pPr>
        <w:pStyle w:val="BodyText"/>
      </w:pPr>
      <w:r>
        <w:t xml:space="preserve">Barrick, M. R., &amp; Mount, M. K. (1991).</w:t>
      </w:r>
      <w:r>
        <w:t xml:space="preserve"> </w:t>
      </w:r>
      <w:r>
        <w:t xml:space="preserve">The</w:t>
      </w:r>
      <w:r>
        <w:t xml:space="preserve"> </w:t>
      </w:r>
      <w:r>
        <w:t xml:space="preserve">Big</w:t>
      </w:r>
      <w:r>
        <w:t xml:space="preserve"> </w:t>
      </w:r>
      <w:r>
        <w:t xml:space="preserve">Five</w:t>
      </w:r>
      <w:r>
        <w:t xml:space="preserve"> </w:t>
      </w:r>
      <w:r>
        <w:t xml:space="preserve">Personality</w:t>
      </w:r>
      <w:r>
        <w:t xml:space="preserve"> </w:t>
      </w:r>
      <w:r>
        <w:t xml:space="preserve">Dimensions</w:t>
      </w:r>
      <w:r>
        <w:t xml:space="preserve"> </w:t>
      </w:r>
      <w:r>
        <w:t xml:space="preserve">and</w:t>
      </w:r>
      <w:r>
        <w:t xml:space="preserve"> </w:t>
      </w:r>
      <w:r>
        <w:t xml:space="preserve">Job</w:t>
      </w:r>
      <w:r>
        <w:t xml:space="preserve"> </w:t>
      </w:r>
      <w:r>
        <w:t xml:space="preserve">Performance</w:t>
      </w:r>
      <w:r>
        <w:t xml:space="preserve">: A</w:t>
      </w:r>
      <w:r>
        <w:t xml:space="preserve"> </w:t>
      </w:r>
      <w:r>
        <w:t xml:space="preserve">Meta</w:t>
      </w:r>
      <w:r>
        <w:t xml:space="preserve">-</w:t>
      </w:r>
      <w:r>
        <w:t xml:space="preserve">Analysis</w:t>
      </w:r>
      <w:r>
        <w:t xml:space="preserve">.</w:t>
      </w:r>
      <w:r>
        <w:t xml:space="preserve"> </w:t>
      </w:r>
      <w:r>
        <w:rPr>
          <w:i/>
        </w:rPr>
        <w:t xml:space="preserve">Personnel Psychology</w:t>
      </w:r>
      <w:r>
        <w:t xml:space="preserve">,</w:t>
      </w:r>
      <w:r>
        <w:t xml:space="preserve"> </w:t>
      </w:r>
      <w:r>
        <w:rPr>
          <w:i/>
        </w:rPr>
        <w:t xml:space="preserve">44</w:t>
      </w:r>
      <w:r>
        <w:t xml:space="preserve">(1), 1–26.</w:t>
      </w:r>
      <w:r>
        <w:t xml:space="preserve"> </w:t>
      </w:r>
      <w:hyperlink r:id="rId52">
        <w:r>
          <w:rPr>
            <w:rStyle w:val="Hyperlink"/>
          </w:rPr>
          <w:t xml:space="preserve">http://doi.org/10.1111/j.1744-6570.1991.tb00688.x</w:t>
        </w:r>
      </w:hyperlink>
    </w:p>
    <w:p>
      <w:pPr>
        <w:pStyle w:val="BodyText"/>
      </w:pPr>
      <w:r>
        <w:t xml:space="preserve">Judge, T. A., Higgins, C. A., Thoresen, C. J., &amp; Barrick, M. R. (1999).</w:t>
      </w:r>
      <w:r>
        <w:t xml:space="preserve"> </w:t>
      </w:r>
      <w:r>
        <w:t xml:space="preserve">The Big Five Personality Traits, General Mental Ability, and Career Success across the Life Span</w:t>
      </w:r>
      <w:r>
        <w:t xml:space="preserve">.</w:t>
      </w:r>
      <w:r>
        <w:t xml:space="preserve"> </w:t>
      </w:r>
      <w:r>
        <w:rPr>
          <w:i/>
        </w:rPr>
        <w:t xml:space="preserve">Personnel Psychology</w:t>
      </w:r>
      <w:r>
        <w:t xml:space="preserve">,</w:t>
      </w:r>
      <w:r>
        <w:t xml:space="preserve"> </w:t>
      </w:r>
      <w:r>
        <w:rPr>
          <w:i/>
        </w:rPr>
        <w:t xml:space="preserve">52</w:t>
      </w:r>
      <w:r>
        <w:t xml:space="preserve">(3), 621–652.</w:t>
      </w:r>
      <w:r>
        <w:t xml:space="preserve"> </w:t>
      </w:r>
      <w:hyperlink r:id="rId53">
        <w:r>
          <w:rPr>
            <w:rStyle w:val="Hyperlink"/>
          </w:rPr>
          <w:t xml:space="preserve">http://doi.org/10.1111/j.1744-6570.1999.tb00174.x</w:t>
        </w:r>
      </w:hyperlink>
    </w:p>
    <w:p>
      <w:pPr>
        <w:pStyle w:val="BodyText"/>
      </w:pPr>
      <w:r>
        <w:t xml:space="preserve">Dehne, M., &amp; Schupp, J. (2007).</w:t>
      </w:r>
      <w:r>
        <w:t xml:space="preserve"> </w:t>
      </w:r>
      <w:r>
        <w:t xml:space="preserve">Persönlichkeitsmerkmale im Sozio-oekonomischen Panel (SOEP): Konzept, Umsetzung und empirische Eigenschaften</w:t>
      </w:r>
      <w:r>
        <w:t xml:space="preserve">.</w:t>
      </w:r>
      <w:r>
        <w:t xml:space="preserve"> </w:t>
      </w:r>
      <w:r>
        <w:rPr>
          <w:i/>
        </w:rPr>
        <w:t xml:space="preserve">(Research Note 26)</w:t>
      </w:r>
      <w:r>
        <w:t xml:space="preserve">.</w:t>
      </w:r>
    </w:p>
    <w:p>
      <w:pPr>
        <w:pStyle w:val="BodyText"/>
      </w:pPr>
      <w:r>
        <w:t xml:space="preserve">Cobb-Clark, D. A., &amp; Schurer, S. (2012).</w:t>
      </w:r>
      <w:r>
        <w:t xml:space="preserve"> </w:t>
      </w:r>
      <w:r>
        <w:t xml:space="preserve">The stability of big-five personality traits</w:t>
      </w:r>
      <w:r>
        <w:t xml:space="preserve">.</w:t>
      </w:r>
      <w:r>
        <w:t xml:space="preserve"> </w:t>
      </w:r>
      <w:r>
        <w:rPr>
          <w:i/>
        </w:rPr>
        <w:t xml:space="preserve">Economics Letters</w:t>
      </w:r>
      <w:r>
        <w:t xml:space="preserve">,</w:t>
      </w:r>
      <w:r>
        <w:t xml:space="preserve"> </w:t>
      </w:r>
      <w:r>
        <w:rPr>
          <w:i/>
        </w:rPr>
        <w:t xml:space="preserve">115</w:t>
      </w:r>
      <w:r>
        <w:t xml:space="preserve">(1), 11–15.</w:t>
      </w:r>
      <w:r>
        <w:t xml:space="preserve"> </w:t>
      </w:r>
      <w:hyperlink r:id="rId54">
        <w:r>
          <w:rPr>
            <w:rStyle w:val="Hyperlink"/>
          </w:rPr>
          <w:t xml:space="preserve">http://doi.org/10.1016/j.econlet.2011.11.015</w:t>
        </w:r>
      </w:hyperlink>
    </w:p>
    <w:p>
      <w:pPr>
        <w:pStyle w:val="BodyText"/>
      </w:pPr>
      <w:r>
        <w:t xml:space="preserve">Elkins, R. K., Kassenboehmer, S. C., &amp; Schurer, S. (2017).</w:t>
      </w:r>
      <w:r>
        <w:t xml:space="preserve"> </w:t>
      </w:r>
      <w:r>
        <w:t xml:space="preserve">The stability of personality traits in adolescence and young adulthood</w:t>
      </w:r>
      <w:r>
        <w:t xml:space="preserve">.</w:t>
      </w:r>
      <w:r>
        <w:t xml:space="preserve"> </w:t>
      </w:r>
      <w:r>
        <w:rPr>
          <w:i/>
        </w:rPr>
        <w:t xml:space="preserve">Journal of Economic Psychology</w:t>
      </w:r>
      <w:r>
        <w:t xml:space="preserve">,</w:t>
      </w:r>
      <w:r>
        <w:t xml:space="preserve"> </w:t>
      </w:r>
      <w:r>
        <w:rPr>
          <w:i/>
        </w:rPr>
        <w:t xml:space="preserve">60</w:t>
      </w:r>
      <w:r>
        <w:t xml:space="preserve">, 37–52.</w:t>
      </w:r>
      <w:r>
        <w:t xml:space="preserve"> </w:t>
      </w:r>
      <w:hyperlink r:id="rId55">
        <w:r>
          <w:rPr>
            <w:rStyle w:val="Hyperlink"/>
          </w:rPr>
          <w:t xml:space="preserve">http://doi.org/10.1016/j.joep.2016.12.005</w:t>
        </w:r>
      </w:hyperlink>
    </w:p>
    <w:p>
      <w:pPr>
        <w:pStyle w:val="BodyText"/>
      </w:pPr>
      <w:r>
        <w:t xml:space="preserve">Caliendo, M., Fossen, F., &amp; Kritikos, A. S. (2013).</w:t>
      </w:r>
      <w:r>
        <w:t xml:space="preserve"> </w:t>
      </w:r>
      <w:r>
        <w:t xml:space="preserve">Personality characteristics and the decisions to become and stay self-employed</w:t>
      </w:r>
      <w:r>
        <w:t xml:space="preserve">.</w:t>
      </w:r>
      <w:r>
        <w:t xml:space="preserve"> </w:t>
      </w:r>
      <w:r>
        <w:rPr>
          <w:i/>
        </w:rPr>
        <w:t xml:space="preserve">Small Business Economics</w:t>
      </w:r>
      <w:r>
        <w:t xml:space="preserve">,</w:t>
      </w:r>
      <w:r>
        <w:t xml:space="preserve"> </w:t>
      </w:r>
      <w:r>
        <w:rPr>
          <w:i/>
        </w:rPr>
        <w:t xml:space="preserve">42</w:t>
      </w:r>
      <w:r>
        <w:t xml:space="preserve">(4), 787–814.</w:t>
      </w:r>
      <w:r>
        <w:t xml:space="preserve"> </w:t>
      </w:r>
      <w:hyperlink r:id="rId50">
        <w:r>
          <w:rPr>
            <w:rStyle w:val="Hyperlink"/>
          </w:rPr>
          <w:t xml:space="preserve">http://doi.org/10.1007/s11187-013-9514-8</w:t>
        </w:r>
      </w:hyperlink>
    </w:p>
    <w:p>
      <w:pPr>
        <w:pStyle w:val="BodyText"/>
      </w:pPr>
      <w:r>
        <w:t xml:space="preserve">Rotter, J. B. (1966).</w:t>
      </w:r>
      <w:r>
        <w:t xml:space="preserve"> </w:t>
      </w:r>
      <w:r>
        <w:t xml:space="preserve">Generalized expectancies for internal versus external control of reinforcement.</w:t>
      </w:r>
      <w:r>
        <w:t xml:space="preserve">.</w:t>
      </w:r>
      <w:r>
        <w:t xml:space="preserve"> </w:t>
      </w:r>
      <w:r>
        <w:rPr>
          <w:i/>
        </w:rPr>
        <w:t xml:space="preserve">Psychological Monographs: General and Applied</w:t>
      </w:r>
      <w:r>
        <w:t xml:space="preserve">,</w:t>
      </w:r>
      <w:r>
        <w:t xml:space="preserve"> </w:t>
      </w:r>
      <w:r>
        <w:rPr>
          <w:i/>
        </w:rPr>
        <w:t xml:space="preserve">80</w:t>
      </w:r>
      <w:r>
        <w:t xml:space="preserve">(1), 1–28.</w:t>
      </w:r>
      <w:r>
        <w:t xml:space="preserve"> </w:t>
      </w:r>
      <w:hyperlink r:id="rId56">
        <w:r>
          <w:rPr>
            <w:rStyle w:val="Hyperlink"/>
          </w:rPr>
          <w:t xml:space="preserve">http://doi.org/10.1037/h0092976</w:t>
        </w:r>
      </w:hyperlink>
    </w:p>
    <w:p>
      <w:pPr>
        <w:pStyle w:val="BodyText"/>
      </w:pPr>
      <w:r>
        <w:t xml:space="preserve">Berger, E. M., &amp; Haywood, L. (2016).</w:t>
      </w:r>
      <w:r>
        <w:t xml:space="preserve"> </w:t>
      </w:r>
      <w:r>
        <w:t xml:space="preserve">Locus of Control and Mothers’ Return to Employment</w:t>
      </w:r>
      <w:r>
        <w:t xml:space="preserve">.</w:t>
      </w:r>
      <w:r>
        <w:t xml:space="preserve"> </w:t>
      </w:r>
      <w:r>
        <w:rPr>
          <w:i/>
        </w:rPr>
        <w:t xml:space="preserve">Journal of Human Capital</w:t>
      </w:r>
      <w:r>
        <w:t xml:space="preserve">,</w:t>
      </w:r>
      <w:r>
        <w:t xml:space="preserve"> </w:t>
      </w:r>
      <w:r>
        <w:rPr>
          <w:i/>
        </w:rPr>
        <w:t xml:space="preserve">10</w:t>
      </w:r>
      <w:r>
        <w:t xml:space="preserve">(4), 442–481.</w:t>
      </w:r>
      <w:r>
        <w:t xml:space="preserve"> </w:t>
      </w:r>
      <w:hyperlink r:id="rId57">
        <w:r>
          <w:rPr>
            <w:rStyle w:val="Hyperlink"/>
          </w:rPr>
          <w:t xml:space="preserve">http://doi.org/10.1086/689353</w:t>
        </w:r>
      </w:hyperlink>
    </w:p>
    <w:p>
      <w:pPr>
        <w:pStyle w:val="BodyText"/>
      </w:pPr>
      <w:r>
        <w:t xml:space="preserve">Pinger, P., Ruhmer-Krell, I., &amp; Schumacher, H. (2016).</w:t>
      </w:r>
      <w:r>
        <w:t xml:space="preserve"> </w:t>
      </w:r>
      <w:r>
        <w:t xml:space="preserve">The compromise effect in action: Lessons from a restaurants menu</w:t>
      </w:r>
      <w:r>
        <w:t xml:space="preserve">.</w:t>
      </w:r>
      <w:r>
        <w:t xml:space="preserve"> </w:t>
      </w:r>
      <w:r>
        <w:rPr>
          <w:i/>
        </w:rPr>
        <w:t xml:space="preserve">Journal of Economic Behavior</w:t>
      </w:r>
      <w:r>
        <w:rPr>
          <w:i/>
        </w:rPr>
        <w:t xml:space="preserve"> </w:t>
      </w:r>
      <w:r>
        <w:rPr>
          <w:i/>
        </w:rPr>
        <w:t xml:space="preserve">&amp;</w:t>
      </w:r>
      <w:r>
        <w:rPr>
          <w:i/>
        </w:rPr>
        <w:t xml:space="preserve"> </w:t>
      </w:r>
      <w:r>
        <w:rPr>
          <w:i/>
        </w:rPr>
        <w:t xml:space="preserve">Organization</w:t>
      </w:r>
      <w:r>
        <w:t xml:space="preserve">,</w:t>
      </w:r>
      <w:r>
        <w:t xml:space="preserve"> </w:t>
      </w:r>
      <w:r>
        <w:rPr>
          <w:i/>
        </w:rPr>
        <w:t xml:space="preserve">128</w:t>
      </w:r>
      <w:r>
        <w:t xml:space="preserve">, 14–34.</w:t>
      </w:r>
      <w:r>
        <w:t xml:space="preserve"> </w:t>
      </w:r>
      <w:hyperlink r:id="rId58">
        <w:r>
          <w:rPr>
            <w:rStyle w:val="Hyperlink"/>
          </w:rPr>
          <w:t xml:space="preserve">http://doi.org/10.1016/j.jebo.2016.04.017</w:t>
        </w:r>
      </w:hyperlink>
    </w:p>
    <w:p>
      <w:pPr>
        <w:pStyle w:val="BodyText"/>
      </w:pPr>
      <w:r>
        <w:t xml:space="preserve">Caliendo, M., Cobb-Clark, D. A., &amp; Uhlendorff, A. (2015).</w:t>
      </w:r>
      <w:r>
        <w:t xml:space="preserve"> </w:t>
      </w:r>
      <w:r>
        <w:t xml:space="preserve">Locus of Control and Job Search Strategies</w:t>
      </w:r>
      <w:r>
        <w:t xml:space="preserve">.</w:t>
      </w:r>
      <w:r>
        <w:t xml:space="preserve"> </w:t>
      </w:r>
      <w:r>
        <w:rPr>
          <w:i/>
        </w:rPr>
        <w:t xml:space="preserve">Review of Economics and Statistics</w:t>
      </w:r>
      <w:r>
        <w:t xml:space="preserve">,</w:t>
      </w:r>
      <w:r>
        <w:t xml:space="preserve"> </w:t>
      </w:r>
      <w:r>
        <w:rPr>
          <w:i/>
        </w:rPr>
        <w:t xml:space="preserve">97</w:t>
      </w:r>
      <w:r>
        <w:t xml:space="preserve">(1), 88–103.</w:t>
      </w:r>
      <w:r>
        <w:t xml:space="preserve"> </w:t>
      </w:r>
      <w:hyperlink r:id="rId59">
        <w:r>
          <w:rPr>
            <w:rStyle w:val="Hyperlink"/>
          </w:rPr>
          <w:t xml:space="preserve">http://doi.org/10.1162/rest_a_00459</w:t>
        </w:r>
      </w:hyperlink>
    </w:p>
    <w:p>
      <w:pPr>
        <w:pStyle w:val="BodyText"/>
      </w:pPr>
      <w:r>
        <w:t xml:space="preserve">Berger, E. M., &amp; Haywood, L. (2016).</w:t>
      </w:r>
      <w:r>
        <w:t xml:space="preserve"> </w:t>
      </w:r>
      <w:r>
        <w:t xml:space="preserve">Locus of Control and Mothers’ Return to Employment</w:t>
      </w:r>
      <w:r>
        <w:t xml:space="preserve">.</w:t>
      </w:r>
      <w:r>
        <w:t xml:space="preserve"> </w:t>
      </w:r>
      <w:r>
        <w:rPr>
          <w:i/>
        </w:rPr>
        <w:t xml:space="preserve">Journal of Human Capital</w:t>
      </w:r>
      <w:r>
        <w:t xml:space="preserve">,</w:t>
      </w:r>
      <w:r>
        <w:t xml:space="preserve"> </w:t>
      </w:r>
      <w:r>
        <w:rPr>
          <w:i/>
        </w:rPr>
        <w:t xml:space="preserve">10</w:t>
      </w:r>
      <w:r>
        <w:t xml:space="preserve">(4), 442–481.</w:t>
      </w:r>
      <w:r>
        <w:t xml:space="preserve"> </w:t>
      </w:r>
      <w:hyperlink r:id="rId57">
        <w:r>
          <w:rPr>
            <w:rStyle w:val="Hyperlink"/>
          </w:rPr>
          <w:t xml:space="preserve">http://doi.org/10.1086/689353</w:t>
        </w:r>
      </w:hyperlink>
    </w:p>
    <w:p>
      <w:pPr>
        <w:pStyle w:val="BodyText"/>
      </w:pPr>
      <w:r>
        <w:t xml:space="preserve">Billari, F. C., Philipov, D., &amp; Baiz</w:t>
      </w:r>
      <w:r>
        <w:t xml:space="preserve">á</w:t>
      </w:r>
      <w:r>
        <w:t xml:space="preserve">n, P. (2001).</w:t>
      </w:r>
      <w:r>
        <w:t xml:space="preserve"> </w:t>
      </w:r>
      <w:r>
        <w:t xml:space="preserve">Leaving Home in Europe: The Experience of Cohorts Born Around 1960</w:t>
      </w:r>
      <w:r>
        <w:t xml:space="preserve">.</w:t>
      </w:r>
      <w:r>
        <w:t xml:space="preserve"> </w:t>
      </w:r>
      <w:r>
        <w:rPr>
          <w:i/>
        </w:rPr>
        <w:t xml:space="preserve">International Journal of Population Geography</w:t>
      </w:r>
      <w:r>
        <w:t xml:space="preserve">,</w:t>
      </w:r>
      <w:r>
        <w:t xml:space="preserve"> </w:t>
      </w:r>
      <w:r>
        <w:rPr>
          <w:i/>
        </w:rPr>
        <w:t xml:space="preserve">7</w:t>
      </w:r>
      <w:r>
        <w:t xml:space="preserve">(5), 339–356.</w:t>
      </w:r>
      <w:r>
        <w:t xml:space="preserve"> </w:t>
      </w:r>
      <w:hyperlink r:id="rId41">
        <w:r>
          <w:rPr>
            <w:rStyle w:val="Hyperlink"/>
          </w:rPr>
          <w:t xml:space="preserve">http://doi.org/10.1002/ijpg.231</w:t>
        </w:r>
      </w:hyperlink>
    </w:p>
    <w:p>
      <w:pPr>
        <w:pStyle w:val="BodyText"/>
      </w:pPr>
      <w:r>
        <w:t xml:space="preserve">Aassve, A., Billari, F. C., Mazzuco, S., &amp; Ongaro, F. (2002).</w:t>
      </w:r>
      <w:r>
        <w:t xml:space="preserve"> </w:t>
      </w:r>
      <w:r>
        <w:t xml:space="preserve">Leaving home: a comparative analysis of</w:t>
      </w:r>
      <w:r>
        <w:t xml:space="preserve"> </w:t>
      </w:r>
      <w:r>
        <w:t xml:space="preserve">ECHP</w:t>
      </w:r>
      <w:r>
        <w:t xml:space="preserve"> </w:t>
      </w:r>
      <w:r>
        <w:t xml:space="preserve">data</w:t>
      </w:r>
      <w:r>
        <w:t xml:space="preserve">.</w:t>
      </w:r>
      <w:r>
        <w:t xml:space="preserve"> </w:t>
      </w:r>
      <w:r>
        <w:rPr>
          <w:i/>
        </w:rPr>
        <w:t xml:space="preserve">Journal of European Social Policy</w:t>
      </w:r>
      <w:r>
        <w:t xml:space="preserve">,</w:t>
      </w:r>
      <w:r>
        <w:t xml:space="preserve"> </w:t>
      </w:r>
      <w:r>
        <w:rPr>
          <w:i/>
        </w:rPr>
        <w:t xml:space="preserve">12</w:t>
      </w:r>
      <w:r>
        <w:t xml:space="preserve">(4), 259–275.</w:t>
      </w:r>
      <w:r>
        <w:t xml:space="preserve"> </w:t>
      </w:r>
      <w:hyperlink r:id="rId42">
        <w:r>
          <w:rPr>
            <w:rStyle w:val="Hyperlink"/>
          </w:rPr>
          <w:t xml:space="preserve">http://doi.org/10.1177/a028430</w:t>
        </w:r>
      </w:hyperlink>
    </w:p>
    <w:p>
      <w:pPr>
        <w:pStyle w:val="BodyText"/>
      </w:pPr>
      <w:r>
        <w:t xml:space="preserve">Cobb-Clark, D. A., &amp; Schurer, S. (2011).</w:t>
      </w:r>
      <w:r>
        <w:t xml:space="preserve"> </w:t>
      </w:r>
      <w:r>
        <w:t xml:space="preserve">The Stability of Big-Five Personality Traits</w:t>
      </w:r>
      <w:r>
        <w:t xml:space="preserve">.</w:t>
      </w:r>
      <w:r>
        <w:t xml:space="preserve"> </w:t>
      </w:r>
      <w:r>
        <w:rPr>
          <w:i/>
        </w:rPr>
        <w:t xml:space="preserve">SSRN</w:t>
      </w:r>
      <w:r>
        <w:rPr>
          <w:i/>
        </w:rPr>
        <w:t xml:space="preserve"> </w:t>
      </w:r>
      <w:r>
        <w:rPr>
          <w:i/>
        </w:rPr>
        <w:t xml:space="preserve">Electronic Journal</w:t>
      </w:r>
      <w:r>
        <w:t xml:space="preserve">.</w:t>
      </w:r>
      <w:r>
        <w:t xml:space="preserve"> </w:t>
      </w:r>
      <w:hyperlink r:id="rId60">
        <w:r>
          <w:rPr>
            <w:rStyle w:val="Hyperlink"/>
          </w:rPr>
          <w:t xml:space="preserve">http://doi.org/10.2139/ssrn.1919414</w:t>
        </w:r>
      </w:hyperlink>
    </w:p>
    <w:p>
      <w:pPr>
        <w:pStyle w:val="BodyText"/>
      </w:pPr>
      <w:r>
        <w:t xml:space="preserve">Elkins, R. K., Kassenboehmer, S. C., &amp; Schurer, S. (2017).</w:t>
      </w:r>
      <w:r>
        <w:t xml:space="preserve"> </w:t>
      </w:r>
      <w:r>
        <w:t xml:space="preserve">The stability of personality traits in adolescence and young adulthood</w:t>
      </w:r>
      <w:r>
        <w:t xml:space="preserve">.</w:t>
      </w:r>
      <w:r>
        <w:t xml:space="preserve"> </w:t>
      </w:r>
      <w:r>
        <w:rPr>
          <w:i/>
        </w:rPr>
        <w:t xml:space="preserve">Journal of Economic Psychology</w:t>
      </w:r>
      <w:r>
        <w:t xml:space="preserve">,</w:t>
      </w:r>
      <w:r>
        <w:t xml:space="preserve"> </w:t>
      </w:r>
      <w:r>
        <w:rPr>
          <w:i/>
        </w:rPr>
        <w:t xml:space="preserve">60</w:t>
      </w:r>
      <w:r>
        <w:t xml:space="preserve">, 37–52.</w:t>
      </w:r>
      <w:r>
        <w:t xml:space="preserve"> </w:t>
      </w:r>
      <w:hyperlink r:id="rId55">
        <w:r>
          <w:rPr>
            <w:rStyle w:val="Hyperlink"/>
          </w:rPr>
          <w:t xml:space="preserve">http://doi.org/10.1016/j.joep.2016.12.005</w:t>
        </w:r>
      </w:hyperlink>
    </w:p>
    <w:p>
      <w:pPr>
        <w:pStyle w:val="BodyText"/>
      </w:pPr>
      <w:r>
        <w:t xml:space="preserve">Feingold, A. (1994).</w:t>
      </w:r>
      <w:r>
        <w:t xml:space="preserve"> </w:t>
      </w:r>
      <w:r>
        <w:t xml:space="preserve">Gender differences in personality: A meta-analysis.</w:t>
      </w:r>
      <w:r>
        <w:t xml:space="preserve">.</w:t>
      </w:r>
      <w:r>
        <w:t xml:space="preserve"> </w:t>
      </w:r>
      <w:r>
        <w:rPr>
          <w:i/>
        </w:rPr>
        <w:t xml:space="preserve">Psychological Bulletin</w:t>
      </w:r>
      <w:r>
        <w:t xml:space="preserve">,</w:t>
      </w:r>
      <w:r>
        <w:t xml:space="preserve"> </w:t>
      </w:r>
      <w:r>
        <w:rPr>
          <w:i/>
        </w:rPr>
        <w:t xml:space="preserve">116</w:t>
      </w:r>
      <w:r>
        <w:t xml:space="preserve">(3), 429–456.</w:t>
      </w:r>
      <w:r>
        <w:t xml:space="preserve"> </w:t>
      </w:r>
      <w:hyperlink r:id="rId61">
        <w:r>
          <w:rPr>
            <w:rStyle w:val="Hyperlink"/>
          </w:rPr>
          <w:t xml:space="preserve">http://doi.org/10.1037/0033-2909.116.3.429</w:t>
        </w:r>
      </w:hyperlink>
    </w:p>
    <w:p>
      <w:pPr>
        <w:pStyle w:val="BodyText"/>
      </w:pPr>
      <w:r>
        <w:t xml:space="preserve">Heckman, J., Stixrud, J., &amp; Urzua, S. (2006).</w:t>
      </w:r>
      <w:r>
        <w:t xml:space="preserve"> </w:t>
      </w:r>
      <w:r>
        <w:rPr>
          <w:i/>
        </w:rPr>
        <w:t xml:space="preserve">The Effects of Cognitive and Noncognitive Abilities on Labor Market Outcomes and Social Behavior</w:t>
      </w:r>
      <w:r>
        <w:t xml:space="preserve">. National Bureau of Economic Research. Retrieved from</w:t>
      </w:r>
      <w:r>
        <w:t xml:space="preserve"> </w:t>
      </w:r>
      <w:hyperlink r:id="rId62">
        <w:r>
          <w:rPr>
            <w:rStyle w:val="Hyperlink"/>
          </w:rPr>
          <w:t xml:space="preserve">https://doi.org/10.3386%2Fw12006</w:t>
        </w:r>
      </w:hyperlink>
    </w:p>
    <w:p>
      <w:pPr>
        <w:pStyle w:val="BodyText"/>
      </w:pPr>
      <w:r>
        <w:t xml:space="preserve">Weisberg, Y. J., DeYoung, C. G., &amp; Hirsh, J. B. (2011).</w:t>
      </w:r>
      <w:r>
        <w:t xml:space="preserve"> </w:t>
      </w:r>
      <w:r>
        <w:t xml:space="preserve">Gender Differences in Personality across the Ten Aspects of the Big Five</w:t>
      </w:r>
      <w:r>
        <w:t xml:space="preserve">.</w:t>
      </w:r>
      <w:r>
        <w:t xml:space="preserve"> </w:t>
      </w:r>
      <w:r>
        <w:rPr>
          <w:i/>
        </w:rPr>
        <w:t xml:space="preserve">Frontiers in Psychology</w:t>
      </w:r>
      <w:r>
        <w:t xml:space="preserve">,</w:t>
      </w:r>
      <w:r>
        <w:t xml:space="preserve"> </w:t>
      </w:r>
      <w:r>
        <w:rPr>
          <w:i/>
        </w:rPr>
        <w:t xml:space="preserve">2</w:t>
      </w:r>
      <w:r>
        <w:t xml:space="preserve">.</w:t>
      </w:r>
      <w:r>
        <w:t xml:space="preserve"> </w:t>
      </w:r>
      <w:hyperlink r:id="rId63">
        <w:r>
          <w:rPr>
            <w:rStyle w:val="Hyperlink"/>
          </w:rPr>
          <w:t xml:space="preserve">http://doi.org/10.3389/fpsyg.2011.00178</w:t>
        </w:r>
      </w:hyperlink>
    </w:p>
    <w:p>
      <w:pPr>
        <w:pStyle w:val="BodyText"/>
      </w:pPr>
      <w:r>
        <w:t xml:space="preserve">Jeong, Y.-J., Hamplov</w:t>
      </w:r>
      <w:r>
        <w:t xml:space="preserve">á</w:t>
      </w:r>
      <w:r>
        <w:t xml:space="preserve">, D., &amp; Bourdais, C. L. (2013).</w:t>
      </w:r>
      <w:r>
        <w:t xml:space="preserve"> </w:t>
      </w:r>
      <w:r>
        <w:t xml:space="preserve">Diversity of Young Adults Living Arrangements: The Role of Ethnicity and Immigration</w:t>
      </w:r>
      <w:r>
        <w:t xml:space="preserve">.</w:t>
      </w:r>
      <w:r>
        <w:t xml:space="preserve"> </w:t>
      </w:r>
      <w:r>
        <w:rPr>
          <w:i/>
        </w:rPr>
        <w:t xml:space="preserve">Journal of Ethnic and Migration Studies</w:t>
      </w:r>
      <w:r>
        <w:t xml:space="preserve">,</w:t>
      </w:r>
      <w:r>
        <w:t xml:space="preserve"> </w:t>
      </w:r>
      <w:r>
        <w:rPr>
          <w:i/>
        </w:rPr>
        <w:t xml:space="preserve">40</w:t>
      </w:r>
      <w:r>
        <w:t xml:space="preserve">(7), 1116–1135.</w:t>
      </w:r>
      <w:r>
        <w:t xml:space="preserve"> </w:t>
      </w:r>
      <w:hyperlink r:id="rId48">
        <w:r>
          <w:rPr>
            <w:rStyle w:val="Hyperlink"/>
          </w:rPr>
          <w:t xml:space="preserve">http://doi.org/10.1080/1369183x.2013.831523</w:t>
        </w:r>
      </w:hyperlink>
    </w:p>
    <w:p>
      <w:pPr>
        <w:pStyle w:val="BodyText"/>
      </w:pPr>
      <w:r>
        <w:t xml:space="preserve">Mincer, J. (1974).</w:t>
      </w:r>
      <w:r>
        <w:t xml:space="preserve"> </w:t>
      </w:r>
      <w:r>
        <w:rPr>
          <w:i/>
        </w:rPr>
        <w:t xml:space="preserve">Schooling, Experience, and Earnings</w:t>
      </w:r>
      <w:r>
        <w:t xml:space="preserve">. National Bureau of Economic Research, Inc.</w:t>
      </w:r>
    </w:p>
    <w:p>
      <w:pPr>
        <w:pStyle w:val="BodyText"/>
      </w:pPr>
      <w:r>
        <w:t xml:space="preserve">Mincer, J. (1958).</w:t>
      </w:r>
      <w:r>
        <w:t xml:space="preserve"> </w:t>
      </w:r>
      <w:r>
        <w:t xml:space="preserve">Investment in Human Capital and Personal Income Distribution</w:t>
      </w:r>
      <w:r>
        <w:t xml:space="preserve">.</w:t>
      </w:r>
      <w:r>
        <w:t xml:space="preserve"> </w:t>
      </w:r>
      <w:r>
        <w:rPr>
          <w:i/>
        </w:rPr>
        <w:t xml:space="preserve">Journal of Political Economy</w:t>
      </w:r>
      <w:r>
        <w:t xml:space="preserve">,</w:t>
      </w:r>
      <w:r>
        <w:t xml:space="preserve"> </w:t>
      </w:r>
      <w:r>
        <w:rPr>
          <w:i/>
        </w:rPr>
        <w:t xml:space="preserve">66</w:t>
      </w:r>
      <w:r>
        <w:t xml:space="preserve">(4), 281–302.</w:t>
      </w:r>
      <w:r>
        <w:t xml:space="preserve"> </w:t>
      </w:r>
      <w:hyperlink r:id="rId64">
        <w:r>
          <w:rPr>
            <w:rStyle w:val="Hyperlink"/>
          </w:rPr>
          <w:t xml:space="preserve">http://doi.org/10.1086/258055</w:t>
        </w:r>
      </w:hyperlink>
    </w:p>
    <w:p>
      <w:pPr>
        <w:pStyle w:val="BodyText"/>
      </w:pPr>
      <w:r>
        <w:t xml:space="preserve">Heckman, J., Lochner, L., &amp; Todd, P. (2003).</w:t>
      </w:r>
      <w:r>
        <w:t xml:space="preserve"> </w:t>
      </w:r>
      <w:r>
        <w:rPr>
          <w:i/>
        </w:rPr>
        <w:t xml:space="preserve">Fifty Years of Mincer Earnings Regressions</w:t>
      </w:r>
      <w:r>
        <w:t xml:space="preserve">. National Bureau of Economic Research. Retrieved from</w:t>
      </w:r>
      <w:r>
        <w:t xml:space="preserve"> </w:t>
      </w:r>
      <w:hyperlink r:id="rId65">
        <w:r>
          <w:rPr>
            <w:rStyle w:val="Hyperlink"/>
          </w:rPr>
          <w:t xml:space="preserve">https://doi.org/10.3386%2Fw9732</w:t>
        </w:r>
      </w:hyperlink>
    </w:p>
    <w:p>
      <w:pPr>
        <w:pStyle w:val="BodyText"/>
      </w:pPr>
      <w:r>
        <w:t xml:space="preserve">Heineck, G. (2011).</w:t>
      </w:r>
      <w:r>
        <w:t xml:space="preserve"> </w:t>
      </w:r>
      <w:r>
        <w:t xml:space="preserve">Does it Pay to Be Nice? Personality and Earnings in the United Kingdom</w:t>
      </w:r>
      <w:r>
        <w:t xml:space="preserve">.</w:t>
      </w:r>
      <w:r>
        <w:t xml:space="preserve"> </w:t>
      </w:r>
      <w:r>
        <w:rPr>
          <w:i/>
        </w:rPr>
        <w:t xml:space="preserve">ILR</w:t>
      </w:r>
      <w:r>
        <w:rPr>
          <w:i/>
        </w:rPr>
        <w:t xml:space="preserve"> </w:t>
      </w:r>
      <w:r>
        <w:rPr>
          <w:i/>
        </w:rPr>
        <w:t xml:space="preserve">Review</w:t>
      </w:r>
      <w:r>
        <w:t xml:space="preserve">,</w:t>
      </w:r>
      <w:r>
        <w:t xml:space="preserve"> </w:t>
      </w:r>
      <w:r>
        <w:rPr>
          <w:i/>
        </w:rPr>
        <w:t xml:space="preserve">64</w:t>
      </w:r>
      <w:r>
        <w:t xml:space="preserve">(5), 1020–1038.</w:t>
      </w:r>
      <w:r>
        <w:t xml:space="preserve"> </w:t>
      </w:r>
      <w:hyperlink r:id="rId66">
        <w:r>
          <w:rPr>
            <w:rStyle w:val="Hyperlink"/>
          </w:rPr>
          <w:t xml:space="preserve">http://doi.org/10.1177/001979391106400509</w:t>
        </w:r>
      </w:hyperlink>
    </w:p>
    <w:p>
      <w:pPr>
        <w:pStyle w:val="BodyText"/>
      </w:pPr>
      <w:r>
        <w:t xml:space="preserve">Judge, T. A., Higgins, C. A., Thoresen, C. J., &amp; Barrick, M. R. (1999).</w:t>
      </w:r>
      <w:r>
        <w:t xml:space="preserve"> </w:t>
      </w:r>
      <w:r>
        <w:t xml:space="preserve">The Big Five Personality Traits, General Mental Ability, and Career Success across the Life Span</w:t>
      </w:r>
      <w:r>
        <w:t xml:space="preserve">.</w:t>
      </w:r>
      <w:r>
        <w:t xml:space="preserve"> </w:t>
      </w:r>
      <w:r>
        <w:rPr>
          <w:i/>
        </w:rPr>
        <w:t xml:space="preserve">Personnel Psychology</w:t>
      </w:r>
      <w:r>
        <w:t xml:space="preserve">,</w:t>
      </w:r>
      <w:r>
        <w:t xml:space="preserve"> </w:t>
      </w:r>
      <w:r>
        <w:rPr>
          <w:i/>
        </w:rPr>
        <w:t xml:space="preserve">52</w:t>
      </w:r>
      <w:r>
        <w:t xml:space="preserve">(3), 621–652.</w:t>
      </w:r>
      <w:r>
        <w:t xml:space="preserve"> </w:t>
      </w:r>
      <w:hyperlink r:id="rId53">
        <w:r>
          <w:rPr>
            <w:rStyle w:val="Hyperlink"/>
          </w:rPr>
          <w:t xml:space="preserve">http://doi.org/10.1111/j.1744-6570.1999.tb00174.x</w:t>
        </w:r>
      </w:hyperlink>
    </w:p>
    <w:p>
      <w:pPr>
        <w:pStyle w:val="BodyText"/>
      </w:pPr>
      <w:r>
        <w:t xml:space="preserve">Mueller, G., &amp; Plug, E. (2006).</w:t>
      </w:r>
      <w:r>
        <w:t xml:space="preserve"> </w:t>
      </w:r>
      <w:r>
        <w:t xml:space="preserve">Estimating the Effect of Personality on Male and Female Earnings</w:t>
      </w:r>
      <w:r>
        <w:t xml:space="preserve">.</w:t>
      </w:r>
      <w:r>
        <w:t xml:space="preserve"> </w:t>
      </w:r>
      <w:r>
        <w:rPr>
          <w:i/>
        </w:rPr>
        <w:t xml:space="preserve">ILR</w:t>
      </w:r>
      <w:r>
        <w:rPr>
          <w:i/>
        </w:rPr>
        <w:t xml:space="preserve"> </w:t>
      </w:r>
      <w:r>
        <w:rPr>
          <w:i/>
        </w:rPr>
        <w:t xml:space="preserve">Review</w:t>
      </w:r>
      <w:r>
        <w:t xml:space="preserve">,</w:t>
      </w:r>
      <w:r>
        <w:t xml:space="preserve"> </w:t>
      </w:r>
      <w:r>
        <w:rPr>
          <w:i/>
        </w:rPr>
        <w:t xml:space="preserve">60</w:t>
      </w:r>
      <w:r>
        <w:t xml:space="preserve">(1), 3–22.</w:t>
      </w:r>
      <w:r>
        <w:t xml:space="preserve"> </w:t>
      </w:r>
      <w:hyperlink r:id="rId67">
        <w:r>
          <w:rPr>
            <w:rStyle w:val="Hyperlink"/>
          </w:rPr>
          <w:t xml:space="preserve">http://doi.org/10.1177/001979390606000101</w:t>
        </w:r>
      </w:hyperlink>
    </w:p>
    <w:p>
      <w:pPr>
        <w:pStyle w:val="BodyText"/>
      </w:pPr>
      <w:r>
        <w:t xml:space="preserve">Nyhus, E. K., &amp; Pons, E. (2005).</w:t>
      </w:r>
      <w:r>
        <w:t xml:space="preserve"> </w:t>
      </w:r>
      <w:r>
        <w:t xml:space="preserve">The effects of personality on earnings</w:t>
      </w:r>
      <w:r>
        <w:t xml:space="preserve">.</w:t>
      </w:r>
      <w:r>
        <w:t xml:space="preserve"> </w:t>
      </w:r>
      <w:r>
        <w:rPr>
          <w:i/>
        </w:rPr>
        <w:t xml:space="preserve">Journal of Economic Psychology</w:t>
      </w:r>
      <w:r>
        <w:t xml:space="preserve">,</w:t>
      </w:r>
      <w:r>
        <w:t xml:space="preserve"> </w:t>
      </w:r>
      <w:r>
        <w:rPr>
          <w:i/>
        </w:rPr>
        <w:t xml:space="preserve">26</w:t>
      </w:r>
      <w:r>
        <w:t xml:space="preserve">(3), 363–384.</w:t>
      </w:r>
      <w:r>
        <w:t xml:space="preserve"> </w:t>
      </w:r>
      <w:hyperlink r:id="rId68">
        <w:r>
          <w:rPr>
            <w:rStyle w:val="Hyperlink"/>
          </w:rPr>
          <w:t xml:space="preserve">http://doi.org/10.1016/j.joep.2004.07.001</w:t>
        </w:r>
      </w:hyperlink>
    </w:p>
    <w:p>
      <w:pPr>
        <w:pStyle w:val="BodyText"/>
      </w:pPr>
      <w:r>
        <w:t xml:space="preserve">Boudreau, J. W., Boswell, W. R., &amp; Judge, T. A. (2001).</w:t>
      </w:r>
      <w:r>
        <w:t xml:space="preserve"> </w:t>
      </w:r>
      <w:r>
        <w:t xml:space="preserve">Effects of Personality on Executive Career Success in the United States and Europe</w:t>
      </w:r>
      <w:r>
        <w:t xml:space="preserve">.</w:t>
      </w:r>
      <w:r>
        <w:t xml:space="preserve"> </w:t>
      </w:r>
      <w:r>
        <w:rPr>
          <w:i/>
        </w:rPr>
        <w:t xml:space="preserve">Journal of Vocational Behavior</w:t>
      </w:r>
      <w:r>
        <w:t xml:space="preserve">,</w:t>
      </w:r>
      <w:r>
        <w:t xml:space="preserve"> </w:t>
      </w:r>
      <w:r>
        <w:rPr>
          <w:i/>
        </w:rPr>
        <w:t xml:space="preserve">58</w:t>
      </w:r>
      <w:r>
        <w:t xml:space="preserve">(1), 53–81.</w:t>
      </w:r>
      <w:r>
        <w:t xml:space="preserve"> </w:t>
      </w:r>
      <w:hyperlink r:id="rId69">
        <w:r>
          <w:rPr>
            <w:rStyle w:val="Hyperlink"/>
          </w:rPr>
          <w:t xml:space="preserve">http://doi.org/10.1006/jvbe.2000.1755</w:t>
        </w:r>
      </w:hyperlink>
    </w:p>
    <w:p>
      <w:pPr>
        <w:pStyle w:val="BodyText"/>
      </w:pPr>
      <w:r>
        <w:t xml:space="preserve">Boudreau, J. W., Boswell, W. R., &amp; Judge, T. A. (2001).</w:t>
      </w:r>
      <w:r>
        <w:t xml:space="preserve"> </w:t>
      </w:r>
      <w:r>
        <w:t xml:space="preserve">Effects of Personality on Executive Career Success in the United States and Europe</w:t>
      </w:r>
      <w:r>
        <w:t xml:space="preserve">.</w:t>
      </w:r>
      <w:r>
        <w:t xml:space="preserve"> </w:t>
      </w:r>
      <w:r>
        <w:rPr>
          <w:i/>
        </w:rPr>
        <w:t xml:space="preserve">Journal of Vocational Behavior</w:t>
      </w:r>
      <w:r>
        <w:t xml:space="preserve">,</w:t>
      </w:r>
      <w:r>
        <w:t xml:space="preserve"> </w:t>
      </w:r>
      <w:r>
        <w:rPr>
          <w:i/>
        </w:rPr>
        <w:t xml:space="preserve">58</w:t>
      </w:r>
      <w:r>
        <w:t xml:space="preserve">(1), 53–81.</w:t>
      </w:r>
      <w:r>
        <w:t xml:space="preserve"> </w:t>
      </w:r>
      <w:hyperlink r:id="rId69">
        <w:r>
          <w:rPr>
            <w:rStyle w:val="Hyperlink"/>
          </w:rPr>
          <w:t xml:space="preserve">http://doi.org/10.1006/jvbe.2000.1755</w:t>
        </w:r>
      </w:hyperlink>
    </w:p>
    <w:p>
      <w:pPr>
        <w:pStyle w:val="BodyText"/>
      </w:pPr>
      <w:r>
        <w:t xml:space="preserve">Heineck, G., &amp; Anger, S. (2010).</w:t>
      </w:r>
      <w:r>
        <w:t xml:space="preserve"> </w:t>
      </w:r>
      <w:r>
        <w:t xml:space="preserve">The returns to cognitive abilities and personality traits in Germany</w:t>
      </w:r>
      <w:r>
        <w:t xml:space="preserve">.</w:t>
      </w:r>
      <w:r>
        <w:t xml:space="preserve"> </w:t>
      </w:r>
      <w:r>
        <w:rPr>
          <w:i/>
        </w:rPr>
        <w:t xml:space="preserve">Labour Economics</w:t>
      </w:r>
      <w:r>
        <w:t xml:space="preserve">,</w:t>
      </w:r>
      <w:r>
        <w:t xml:space="preserve"> </w:t>
      </w:r>
      <w:r>
        <w:rPr>
          <w:i/>
        </w:rPr>
        <w:t xml:space="preserve">17</w:t>
      </w:r>
      <w:r>
        <w:t xml:space="preserve">(3), 535–546.</w:t>
      </w:r>
      <w:r>
        <w:t xml:space="preserve"> </w:t>
      </w:r>
      <w:hyperlink r:id="rId70">
        <w:r>
          <w:rPr>
            <w:rStyle w:val="Hyperlink"/>
          </w:rPr>
          <w:t xml:space="preserve">http://doi.org/10.1016/j.labeco.2009.06.001</w:t>
        </w:r>
      </w:hyperlink>
    </w:p>
    <w:p>
      <w:pPr>
        <w:pStyle w:val="BodyText"/>
      </w:pPr>
      <w:r>
        <w:t xml:space="preserve">O’Connell, M., &amp; Sheikh, H. (2011).</w:t>
      </w:r>
      <w:r>
        <w:t xml:space="preserve"> </w:t>
      </w:r>
      <w:r>
        <w:t xml:space="preserve">‘</w:t>
      </w:r>
      <w:r>
        <w:t xml:space="preserve">Big Five</w:t>
      </w:r>
      <w:r>
        <w:t xml:space="preserve">’</w:t>
      </w:r>
      <w:r>
        <w:t xml:space="preserve"> </w:t>
      </w:r>
      <w:r>
        <w:t xml:space="preserve">personality dimensions and social attainment: Evidence from beyond the campus</w:t>
      </w:r>
      <w:r>
        <w:t xml:space="preserve">.</w:t>
      </w:r>
      <w:r>
        <w:t xml:space="preserve"> </w:t>
      </w:r>
      <w:r>
        <w:rPr>
          <w:i/>
        </w:rPr>
        <w:t xml:space="preserve">Personality and Individual Differences</w:t>
      </w:r>
      <w:r>
        <w:t xml:space="preserve">,</w:t>
      </w:r>
      <w:r>
        <w:t xml:space="preserve"> </w:t>
      </w:r>
      <w:r>
        <w:rPr>
          <w:i/>
        </w:rPr>
        <w:t xml:space="preserve">50</w:t>
      </w:r>
      <w:r>
        <w:t xml:space="preserve">(6), 828–833.</w:t>
      </w:r>
      <w:r>
        <w:t xml:space="preserve"> </w:t>
      </w:r>
      <w:hyperlink r:id="rId71">
        <w:r>
          <w:rPr>
            <w:rStyle w:val="Hyperlink"/>
          </w:rPr>
          <w:t xml:space="preserve">http://doi.org/10.1016/j.paid.2011.01.004</w:t>
        </w:r>
      </w:hyperlink>
    </w:p>
    <w:p>
      <w:pPr>
        <w:pStyle w:val="BodyText"/>
      </w:pPr>
      <w:r>
        <w:t xml:space="preserve">Heineck, G., &amp; Anger, S. (2008).</w:t>
      </w:r>
      <w:r>
        <w:t xml:space="preserve"> </w:t>
      </w:r>
      <w:r>
        <w:t xml:space="preserve">The Returns to Cognitive Abilities and Personality Traits in Germany</w:t>
      </w:r>
      <w:r>
        <w:t xml:space="preserve">.</w:t>
      </w:r>
      <w:r>
        <w:t xml:space="preserve"> </w:t>
      </w:r>
      <w:r>
        <w:rPr>
          <w:i/>
        </w:rPr>
        <w:t xml:space="preserve">SSRN</w:t>
      </w:r>
      <w:r>
        <w:rPr>
          <w:i/>
        </w:rPr>
        <w:t xml:space="preserve"> </w:t>
      </w:r>
      <w:r>
        <w:rPr>
          <w:i/>
        </w:rPr>
        <w:t xml:space="preserve">Electronic Journal</w:t>
      </w:r>
      <w:r>
        <w:t xml:space="preserve">.</w:t>
      </w:r>
      <w:r>
        <w:t xml:space="preserve"> </w:t>
      </w:r>
      <w:hyperlink r:id="rId72">
        <w:r>
          <w:rPr>
            <w:rStyle w:val="Hyperlink"/>
          </w:rPr>
          <w:t xml:space="preserve">http://doi.org/10.2139/ssrn.1259705</w:t>
        </w:r>
      </w:hyperlink>
    </w:p>
    <w:p>
      <w:pPr>
        <w:pStyle w:val="BodyText"/>
      </w:pPr>
      <w:r>
        <w:t xml:space="preserve">2017, H. (H. R. K.</w:t>
      </w:r>
      <w:r>
        <w:t xml:space="preserve"> </w:t>
      </w:r>
      <w:r>
        <w:t xml:space="preserve">Statistiken zur Hochschulpolitik 2017. Bonn</w:t>
      </w:r>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18219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2eab3d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http://doi.org/10.1002/ijpg.231" TargetMode="External" /><Relationship Type="http://schemas.openxmlformats.org/officeDocument/2006/relationships/hyperlink" Id="rId43" Target="http://doi.org/10.1002/jae.636" TargetMode="External" /><Relationship Type="http://schemas.openxmlformats.org/officeDocument/2006/relationships/hyperlink" Id="rId69" Target="http://doi.org/10.1006/jvbe.2000.1755" TargetMode="External" /><Relationship Type="http://schemas.openxmlformats.org/officeDocument/2006/relationships/hyperlink" Id="rId39" Target="http://doi.org/10.1007/bf01796889" TargetMode="External" /><Relationship Type="http://schemas.openxmlformats.org/officeDocument/2006/relationships/hyperlink" Id="rId50" Target="http://doi.org/10.1007/s11187-013-9514-8" TargetMode="External" /><Relationship Type="http://schemas.openxmlformats.org/officeDocument/2006/relationships/hyperlink" Id="rId54" Target="http://doi.org/10.1016/j.econlet.2011.11.015" TargetMode="External" /><Relationship Type="http://schemas.openxmlformats.org/officeDocument/2006/relationships/hyperlink" Id="rId58" Target="http://doi.org/10.1016/j.jebo.2016.04.017" TargetMode="External" /><Relationship Type="http://schemas.openxmlformats.org/officeDocument/2006/relationships/hyperlink" Id="rId44" Target="http://doi.org/10.1016/j.jhe.2004.02.001" TargetMode="External" /><Relationship Type="http://schemas.openxmlformats.org/officeDocument/2006/relationships/hyperlink" Id="rId68" Target="http://doi.org/10.1016/j.joep.2004.07.001" TargetMode="External" /><Relationship Type="http://schemas.openxmlformats.org/officeDocument/2006/relationships/hyperlink" Id="rId55" Target="http://doi.org/10.1016/j.joep.2016.12.005" TargetMode="External" /><Relationship Type="http://schemas.openxmlformats.org/officeDocument/2006/relationships/hyperlink" Id="rId70" Target="http://doi.org/10.1016/j.labeco.2009.06.001" TargetMode="External" /><Relationship Type="http://schemas.openxmlformats.org/officeDocument/2006/relationships/hyperlink" Id="rId71" Target="http://doi.org/10.1016/j.paid.2011.01.004" TargetMode="External" /><Relationship Type="http://schemas.openxmlformats.org/officeDocument/2006/relationships/hyperlink" Id="rId51" Target="http://doi.org/10.1037/0022-3514.52.6.1258" TargetMode="External" /><Relationship Type="http://schemas.openxmlformats.org/officeDocument/2006/relationships/hyperlink" Id="rId61" Target="http://doi.org/10.1037/0033-2909.116.3.429" TargetMode="External" /><Relationship Type="http://schemas.openxmlformats.org/officeDocument/2006/relationships/hyperlink" Id="rId56" Target="http://doi.org/10.1037/h0092976" TargetMode="External" /><Relationship Type="http://schemas.openxmlformats.org/officeDocument/2006/relationships/hyperlink" Id="rId49" Target="http://doi.org/10.1037/h0093360" TargetMode="External" /><Relationship Type="http://schemas.openxmlformats.org/officeDocument/2006/relationships/hyperlink" Id="rId48" Target="http://doi.org/10.1080/1369183x.2013.831523" TargetMode="External" /><Relationship Type="http://schemas.openxmlformats.org/officeDocument/2006/relationships/hyperlink" Id="rId64" Target="http://doi.org/10.1086/258055" TargetMode="External" /><Relationship Type="http://schemas.openxmlformats.org/officeDocument/2006/relationships/hyperlink" Id="rId47" Target="http://doi.org/10.1086/322086" TargetMode="External" /><Relationship Type="http://schemas.openxmlformats.org/officeDocument/2006/relationships/hyperlink" Id="rId57" Target="http://doi.org/10.1086/689353" TargetMode="External" /><Relationship Type="http://schemas.openxmlformats.org/officeDocument/2006/relationships/hyperlink" Id="rId45" Target="http://doi.org/10.1093/cesifo/50.3.451" TargetMode="External" /><Relationship Type="http://schemas.openxmlformats.org/officeDocument/2006/relationships/hyperlink" Id="rId40" Target="http://doi.org/10.1093/esr/16.2.201" TargetMode="External" /><Relationship Type="http://schemas.openxmlformats.org/officeDocument/2006/relationships/hyperlink" Id="rId38" Target="http://doi.org/10.1093/oxfordjournals.oep.a041827" TargetMode="External" /><Relationship Type="http://schemas.openxmlformats.org/officeDocument/2006/relationships/hyperlink" Id="rId52" Target="http://doi.org/10.1111/j.1744-6570.1991.tb00688.x" TargetMode="External" /><Relationship Type="http://schemas.openxmlformats.org/officeDocument/2006/relationships/hyperlink" Id="rId53" Target="http://doi.org/10.1111/j.1744-6570.1999.tb00174.x" TargetMode="External" /><Relationship Type="http://schemas.openxmlformats.org/officeDocument/2006/relationships/hyperlink" Id="rId59" Target="http://doi.org/10.1162/rest_a_00459" TargetMode="External" /><Relationship Type="http://schemas.openxmlformats.org/officeDocument/2006/relationships/hyperlink" Id="rId67" Target="http://doi.org/10.1177/001979390606000101" TargetMode="External" /><Relationship Type="http://schemas.openxmlformats.org/officeDocument/2006/relationships/hyperlink" Id="rId66" Target="http://doi.org/10.1177/001979391106400509" TargetMode="External" /><Relationship Type="http://schemas.openxmlformats.org/officeDocument/2006/relationships/hyperlink" Id="rId42" Target="http://doi.org/10.1177/a028430" TargetMode="External" /><Relationship Type="http://schemas.openxmlformats.org/officeDocument/2006/relationships/hyperlink" Id="rId72" Target="http://doi.org/10.2139/ssrn.1259705" TargetMode="External" /><Relationship Type="http://schemas.openxmlformats.org/officeDocument/2006/relationships/hyperlink" Id="rId60" Target="http://doi.org/10.2139/ssrn.1919414" TargetMode="External" /><Relationship Type="http://schemas.openxmlformats.org/officeDocument/2006/relationships/hyperlink" Id="rId37" Target="http://doi.org/10.2307/352768" TargetMode="External" /><Relationship Type="http://schemas.openxmlformats.org/officeDocument/2006/relationships/hyperlink" Id="rId63" Target="http://doi.org/10.3389/fpsyg.2011.00178" TargetMode="External" /><Relationship Type="http://schemas.openxmlformats.org/officeDocument/2006/relationships/hyperlink" Id="rId46" Target="https://doi.org/10.3386%2Fw11259" TargetMode="External" /><Relationship Type="http://schemas.openxmlformats.org/officeDocument/2006/relationships/hyperlink" Id="rId62" Target="https://doi.org/10.3386%2Fw12006" TargetMode="External" /><Relationship Type="http://schemas.openxmlformats.org/officeDocument/2006/relationships/hyperlink" Id="rId65" Target="https://doi.org/10.3386%2Fw9732" TargetMode="External" /></Relationships>
</file>

<file path=word/_rels/footnotes.xml.rels><?xml version="1.0" encoding="UTF-8"?>
<Relationships xmlns="http://schemas.openxmlformats.org/package/2006/relationships"><Relationship Type="http://schemas.openxmlformats.org/officeDocument/2006/relationships/hyperlink" Id="rId41" Target="http://doi.org/10.1002/ijpg.231" TargetMode="External" /><Relationship Type="http://schemas.openxmlformats.org/officeDocument/2006/relationships/hyperlink" Id="rId43" Target="http://doi.org/10.1002/jae.636" TargetMode="External" /><Relationship Type="http://schemas.openxmlformats.org/officeDocument/2006/relationships/hyperlink" Id="rId69" Target="http://doi.org/10.1006/jvbe.2000.1755" TargetMode="External" /><Relationship Type="http://schemas.openxmlformats.org/officeDocument/2006/relationships/hyperlink" Id="rId39" Target="http://doi.org/10.1007/bf01796889" TargetMode="External" /><Relationship Type="http://schemas.openxmlformats.org/officeDocument/2006/relationships/hyperlink" Id="rId50" Target="http://doi.org/10.1007/s11187-013-9514-8" TargetMode="External" /><Relationship Type="http://schemas.openxmlformats.org/officeDocument/2006/relationships/hyperlink" Id="rId54" Target="http://doi.org/10.1016/j.econlet.2011.11.015" TargetMode="External" /><Relationship Type="http://schemas.openxmlformats.org/officeDocument/2006/relationships/hyperlink" Id="rId58" Target="http://doi.org/10.1016/j.jebo.2016.04.017" TargetMode="External" /><Relationship Type="http://schemas.openxmlformats.org/officeDocument/2006/relationships/hyperlink" Id="rId44" Target="http://doi.org/10.1016/j.jhe.2004.02.001" TargetMode="External" /><Relationship Type="http://schemas.openxmlformats.org/officeDocument/2006/relationships/hyperlink" Id="rId68" Target="http://doi.org/10.1016/j.joep.2004.07.001" TargetMode="External" /><Relationship Type="http://schemas.openxmlformats.org/officeDocument/2006/relationships/hyperlink" Id="rId55" Target="http://doi.org/10.1016/j.joep.2016.12.005" TargetMode="External" /><Relationship Type="http://schemas.openxmlformats.org/officeDocument/2006/relationships/hyperlink" Id="rId70" Target="http://doi.org/10.1016/j.labeco.2009.06.001" TargetMode="External" /><Relationship Type="http://schemas.openxmlformats.org/officeDocument/2006/relationships/hyperlink" Id="rId71" Target="http://doi.org/10.1016/j.paid.2011.01.004" TargetMode="External" /><Relationship Type="http://schemas.openxmlformats.org/officeDocument/2006/relationships/hyperlink" Id="rId51" Target="http://doi.org/10.1037/0022-3514.52.6.1258" TargetMode="External" /><Relationship Type="http://schemas.openxmlformats.org/officeDocument/2006/relationships/hyperlink" Id="rId61" Target="http://doi.org/10.1037/0033-2909.116.3.429" TargetMode="External" /><Relationship Type="http://schemas.openxmlformats.org/officeDocument/2006/relationships/hyperlink" Id="rId56" Target="http://doi.org/10.1037/h0092976" TargetMode="External" /><Relationship Type="http://schemas.openxmlformats.org/officeDocument/2006/relationships/hyperlink" Id="rId49" Target="http://doi.org/10.1037/h0093360" TargetMode="External" /><Relationship Type="http://schemas.openxmlformats.org/officeDocument/2006/relationships/hyperlink" Id="rId48" Target="http://doi.org/10.1080/1369183x.2013.831523" TargetMode="External" /><Relationship Type="http://schemas.openxmlformats.org/officeDocument/2006/relationships/hyperlink" Id="rId64" Target="http://doi.org/10.1086/258055" TargetMode="External" /><Relationship Type="http://schemas.openxmlformats.org/officeDocument/2006/relationships/hyperlink" Id="rId47" Target="http://doi.org/10.1086/322086" TargetMode="External" /><Relationship Type="http://schemas.openxmlformats.org/officeDocument/2006/relationships/hyperlink" Id="rId57" Target="http://doi.org/10.1086/689353" TargetMode="External" /><Relationship Type="http://schemas.openxmlformats.org/officeDocument/2006/relationships/hyperlink" Id="rId45" Target="http://doi.org/10.1093/cesifo/50.3.451" TargetMode="External" /><Relationship Type="http://schemas.openxmlformats.org/officeDocument/2006/relationships/hyperlink" Id="rId40" Target="http://doi.org/10.1093/esr/16.2.201" TargetMode="External" /><Relationship Type="http://schemas.openxmlformats.org/officeDocument/2006/relationships/hyperlink" Id="rId38" Target="http://doi.org/10.1093/oxfordjournals.oep.a041827" TargetMode="External" /><Relationship Type="http://schemas.openxmlformats.org/officeDocument/2006/relationships/hyperlink" Id="rId52" Target="http://doi.org/10.1111/j.1744-6570.1991.tb00688.x" TargetMode="External" /><Relationship Type="http://schemas.openxmlformats.org/officeDocument/2006/relationships/hyperlink" Id="rId53" Target="http://doi.org/10.1111/j.1744-6570.1999.tb00174.x" TargetMode="External" /><Relationship Type="http://schemas.openxmlformats.org/officeDocument/2006/relationships/hyperlink" Id="rId59" Target="http://doi.org/10.1162/rest_a_00459" TargetMode="External" /><Relationship Type="http://schemas.openxmlformats.org/officeDocument/2006/relationships/hyperlink" Id="rId67" Target="http://doi.org/10.1177/001979390606000101" TargetMode="External" /><Relationship Type="http://schemas.openxmlformats.org/officeDocument/2006/relationships/hyperlink" Id="rId66" Target="http://doi.org/10.1177/001979391106400509" TargetMode="External" /><Relationship Type="http://schemas.openxmlformats.org/officeDocument/2006/relationships/hyperlink" Id="rId42" Target="http://doi.org/10.1177/a028430" TargetMode="External" /><Relationship Type="http://schemas.openxmlformats.org/officeDocument/2006/relationships/hyperlink" Id="rId72" Target="http://doi.org/10.2139/ssrn.1259705" TargetMode="External" /><Relationship Type="http://schemas.openxmlformats.org/officeDocument/2006/relationships/hyperlink" Id="rId60" Target="http://doi.org/10.2139/ssrn.1919414" TargetMode="External" /><Relationship Type="http://schemas.openxmlformats.org/officeDocument/2006/relationships/hyperlink" Id="rId37" Target="http://doi.org/10.2307/352768" TargetMode="External" /><Relationship Type="http://schemas.openxmlformats.org/officeDocument/2006/relationships/hyperlink" Id="rId63" Target="http://doi.org/10.3389/fpsyg.2011.00178" TargetMode="External" /><Relationship Type="http://schemas.openxmlformats.org/officeDocument/2006/relationships/hyperlink" Id="rId46" Target="https://doi.org/10.3386%2Fw11259" TargetMode="External" /><Relationship Type="http://schemas.openxmlformats.org/officeDocument/2006/relationships/hyperlink" Id="rId62" Target="https://doi.org/10.3386%2Fw12006" TargetMode="External" /><Relationship Type="http://schemas.openxmlformats.org/officeDocument/2006/relationships/hyperlink" Id="rId65" Target="https://doi.org/10.3386%2Fw973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out during College</dc:title>
  <dc:creator>Sebastian Becker; Max Blesch</dc:creator>
  <dcterms:created xsi:type="dcterms:W3CDTF">2018-01-19T10:58:13Z</dcterms:created>
  <dcterms:modified xsi:type="dcterms:W3CDTF">2018-01-19T10:58:13Z</dcterms:modified>
</cp:coreProperties>
</file>