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29.png" ContentType="image/png"/>
  <Override PartName="/word/media/rId35.png" ContentType="image/png"/>
  <Override PartName="/word/media/rId27.png" ContentType="image/png"/>
  <Override PartName="/word/media/rId37.png" ContentType="image/png"/>
  <Override PartName="/word/media/rId38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Systematic</w:t>
      </w:r>
      <w:r>
        <w:t xml:space="preserve"> </w:t>
      </w:r>
      <w:r>
        <w:t xml:space="preserve">review</w:t>
      </w:r>
      <w:r>
        <w:t xml:space="preserve"> </w:t>
      </w:r>
      <w:r>
        <w:t xml:space="preserve">and</w:t>
      </w:r>
      <w:r>
        <w:t xml:space="preserve"> </w:t>
      </w:r>
      <w:r>
        <w:t xml:space="preserve">meta-analysis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effect</w:t>
      </w:r>
      <w:r>
        <w:t xml:space="preserve"> </w:t>
      </w:r>
      <w:r>
        <w:t xml:space="preserve">of</w:t>
      </w:r>
      <w:r>
        <w:t xml:space="preserve"> </w:t>
      </w:r>
      <w:r>
        <w:t xml:space="preserve">ABO</w:t>
      </w:r>
      <w:r>
        <w:t xml:space="preserve"> </w:t>
      </w:r>
      <w:r>
        <w:t xml:space="preserve">blood</w:t>
      </w:r>
      <w:r>
        <w:t xml:space="preserve"> </w:t>
      </w:r>
      <w:r>
        <w:t xml:space="preserve">group</w:t>
      </w:r>
      <w:r>
        <w:t xml:space="preserve"> </w:t>
      </w:r>
      <w:r>
        <w:t xml:space="preserve">on</w:t>
      </w:r>
      <w:r>
        <w:t xml:space="preserve"> </w:t>
      </w:r>
      <w:r>
        <w:t xml:space="preserve">the</w:t>
      </w:r>
      <w:r>
        <w:t xml:space="preserve"> </w:t>
      </w:r>
      <w:r>
        <w:t xml:space="preserve">risk</w:t>
      </w:r>
      <w:r>
        <w:t xml:space="preserve"> </w:t>
      </w:r>
      <w:r>
        <w:t xml:space="preserve">of</w:t>
      </w:r>
      <w:r>
        <w:t xml:space="preserve"> </w:t>
      </w:r>
      <w:r>
        <w:t xml:space="preserve">COVID-19</w:t>
      </w:r>
      <w:r>
        <w:t xml:space="preserve"> </w:t>
      </w:r>
      <w:r>
        <w:t xml:space="preserve">infection</w:t>
      </w:r>
    </w:p>
    <w:p>
      <w:pPr>
        <w:pStyle w:val="Author"/>
      </w:pPr>
      <w:r>
        <w:t xml:space="preserve">George</w:t>
      </w:r>
      <w:r>
        <w:t xml:space="preserve"> </w:t>
      </w:r>
      <w:r>
        <w:t xml:space="preserve">Balaouras</w:t>
      </w:r>
    </w:p>
    <w:p>
      <w:pPr>
        <w:pStyle w:val="Author"/>
      </w:pPr>
      <w:r>
        <w:t xml:space="preserve">Paolo</w:t>
      </w:r>
      <w:r>
        <w:t xml:space="preserve"> </w:t>
      </w:r>
      <w:r>
        <w:t xml:space="preserve">Eusebi</w:t>
      </w:r>
    </w:p>
    <w:p>
      <w:pPr>
        <w:pStyle w:val="Author"/>
      </w:pPr>
      <w:r>
        <w:t xml:space="preserve">Polychronis</w:t>
      </w:r>
      <w:r>
        <w:t xml:space="preserve"> </w:t>
      </w:r>
      <w:r>
        <w:t xml:space="preserve">Kostoulas</w:t>
      </w:r>
    </w:p>
    <w:p>
      <w:pPr>
        <w:pStyle w:val="Abstract"/>
      </w:pPr>
      <w:r>
        <w:t xml:space="preserve">We</w:t>
      </w:r>
      <w:r>
        <w:t xml:space="preserve"> </w:t>
      </w:r>
      <w:r>
        <w:t xml:space="preserve">have</w:t>
      </w:r>
      <w:r>
        <w:t xml:space="preserve"> </w:t>
      </w:r>
      <w:r>
        <w:t xml:space="preserve">been</w:t>
      </w:r>
      <w:r>
        <w:t xml:space="preserve"> </w:t>
      </w:r>
      <w:r>
        <w:t xml:space="preserve">experiencing</w:t>
      </w:r>
      <w:r>
        <w:t xml:space="preserve"> </w:t>
      </w:r>
      <w:r>
        <w:t xml:space="preserve">a</w:t>
      </w:r>
      <w:r>
        <w:t xml:space="preserve"> </w:t>
      </w:r>
      <w:r>
        <w:t xml:space="preserve">global</w:t>
      </w:r>
      <w:r>
        <w:t xml:space="preserve"> </w:t>
      </w:r>
      <w:r>
        <w:t xml:space="preserve">pandemic</w:t>
      </w:r>
      <w:r>
        <w:t xml:space="preserve"> </w:t>
      </w:r>
      <w:r>
        <w:t xml:space="preserve">with</w:t>
      </w:r>
      <w:r>
        <w:t xml:space="preserve"> </w:t>
      </w:r>
      <w:r>
        <w:t xml:space="preserve">baleful</w:t>
      </w:r>
      <w:r>
        <w:t xml:space="preserve"> </w:t>
      </w:r>
      <w:r>
        <w:t xml:space="preserve">consequences</w:t>
      </w:r>
      <w:r>
        <w:t xml:space="preserve"> </w:t>
      </w:r>
      <w:r>
        <w:t xml:space="preserve">for</w:t>
      </w:r>
      <w:r>
        <w:t xml:space="preserve"> </w:t>
      </w:r>
      <w:r>
        <w:t xml:space="preserve">mankind,</w:t>
      </w:r>
      <w:r>
        <w:t xml:space="preserve"> </w:t>
      </w:r>
      <w:r>
        <w:t xml:space="preserve">since</w:t>
      </w:r>
      <w:r>
        <w:t xml:space="preserve"> </w:t>
      </w:r>
      <w:r>
        <w:t xml:space="preserve">the</w:t>
      </w:r>
      <w:r>
        <w:t xml:space="preserve"> </w:t>
      </w:r>
      <w:r>
        <w:t xml:space="preserve">Severe</w:t>
      </w:r>
      <w:r>
        <w:t xml:space="preserve"> </w:t>
      </w:r>
      <w:r>
        <w:t xml:space="preserve">Acute</w:t>
      </w:r>
      <w:r>
        <w:t xml:space="preserve"> </w:t>
      </w:r>
      <w:r>
        <w:t xml:space="preserve">Respiratory</w:t>
      </w:r>
      <w:r>
        <w:t xml:space="preserve"> </w:t>
      </w:r>
      <w:r>
        <w:t xml:space="preserve">Syndrome</w:t>
      </w:r>
      <w:r>
        <w:t xml:space="preserve"> </w:t>
      </w:r>
      <w:r>
        <w:t xml:space="preserve">Coronavirus</w:t>
      </w:r>
      <w:r>
        <w:t xml:space="preserve"> </w:t>
      </w:r>
      <w:r>
        <w:t xml:space="preserve">2</w:t>
      </w:r>
      <w:r>
        <w:t xml:space="preserve"> </w:t>
      </w:r>
      <w:r>
        <w:t xml:space="preserve">(SARS-CoV-2)</w:t>
      </w:r>
      <w:r>
        <w:t xml:space="preserve"> </w:t>
      </w:r>
      <w:r>
        <w:t xml:space="preserve">was</w:t>
      </w:r>
      <w:r>
        <w:t xml:space="preserve"> </w:t>
      </w:r>
      <w:r>
        <w:t xml:space="preserve">first</w:t>
      </w:r>
      <w:r>
        <w:t xml:space="preserve"> </w:t>
      </w:r>
      <w:r>
        <w:t xml:space="preserve">identified</w:t>
      </w:r>
      <w:r>
        <w:t xml:space="preserve"> </w:t>
      </w:r>
      <w:r>
        <w:t xml:space="preserve">in</w:t>
      </w:r>
      <w:r>
        <w:t xml:space="preserve"> </w:t>
      </w:r>
      <w:r>
        <w:t xml:space="preserve">Wuhan</w:t>
      </w:r>
      <w:r>
        <w:t xml:space="preserve"> </w:t>
      </w:r>
      <w:r>
        <w:t xml:space="preserve">of</w:t>
      </w:r>
      <w:r>
        <w:t xml:space="preserve"> </w:t>
      </w:r>
      <w:r>
        <w:t xml:space="preserve">China,</w:t>
      </w:r>
      <w:r>
        <w:t xml:space="preserve"> </w:t>
      </w:r>
      <w:r>
        <w:t xml:space="preserve">in December 2019. </w:t>
      </w:r>
      <w:r>
        <w:t xml:space="preserve"> </w:t>
      </w:r>
      <w:r>
        <w:t xml:space="preserve">So</w:t>
      </w:r>
      <w:r>
        <w:t xml:space="preserve"> </w:t>
      </w:r>
      <w:r>
        <w:t xml:space="preserve">far,</w:t>
      </w:r>
      <w:r>
        <w:t xml:space="preserve"> </w:t>
      </w:r>
      <w:r>
        <w:t xml:space="preserve">several</w:t>
      </w:r>
      <w:r>
        <w:t xml:space="preserve"> </w:t>
      </w:r>
      <w:r>
        <w:t xml:space="preserve">potential</w:t>
      </w:r>
      <w:r>
        <w:t xml:space="preserve"> </w:t>
      </w:r>
      <w:r>
        <w:t xml:space="preserve">risk</w:t>
      </w:r>
      <w:r>
        <w:t xml:space="preserve"> </w:t>
      </w:r>
      <w:r>
        <w:t xml:space="preserve">factors</w:t>
      </w:r>
      <w:r>
        <w:t xml:space="preserve"> </w:t>
      </w:r>
      <w:r>
        <w:t xml:space="preserve">for</w:t>
      </w:r>
      <w:r>
        <w:t xml:space="preserve"> </w:t>
      </w:r>
      <w:r>
        <w:t xml:space="preserve">SARS-CoV-2</w:t>
      </w:r>
      <w:r>
        <w:t xml:space="preserve"> </w:t>
      </w:r>
      <w:r>
        <w:t xml:space="preserve">infection</w:t>
      </w:r>
      <w:r>
        <w:t xml:space="preserve"> </w:t>
      </w:r>
      <w:r>
        <w:t xml:space="preserve">have</w:t>
      </w:r>
      <w:r>
        <w:t xml:space="preserve"> </w:t>
      </w:r>
      <w:r>
        <w:t xml:space="preserve">been</w:t>
      </w:r>
      <w:r>
        <w:t xml:space="preserve"> </w:t>
      </w:r>
      <w:r>
        <w:t xml:space="preserve">identified.</w:t>
      </w:r>
      <w:r>
        <w:t xml:space="preserve"> </w:t>
      </w:r>
      <w:r>
        <w:t xml:space="preserve">Among</w:t>
      </w:r>
      <w:r>
        <w:t xml:space="preserve"> </w:t>
      </w:r>
      <w:r>
        <w:t xml:space="preserve">them,</w:t>
      </w:r>
      <w:r>
        <w:t xml:space="preserve"> </w:t>
      </w:r>
      <w:r>
        <w:t xml:space="preserve">the</w:t>
      </w:r>
      <w:r>
        <w:t xml:space="preserve"> </w:t>
      </w:r>
      <w:r>
        <w:t xml:space="preserve">role</w:t>
      </w:r>
      <w:r>
        <w:t xml:space="preserve"> </w:t>
      </w:r>
      <w:r>
        <w:t xml:space="preserve">of</w:t>
      </w:r>
      <w:r>
        <w:t xml:space="preserve"> </w:t>
      </w:r>
      <w:r>
        <w:t xml:space="preserve">ABO</w:t>
      </w:r>
      <w:r>
        <w:t xml:space="preserve"> </w:t>
      </w:r>
      <w:r>
        <w:t xml:space="preserve">blood</w:t>
      </w:r>
      <w:r>
        <w:t xml:space="preserve"> </w:t>
      </w:r>
      <w:r>
        <w:t xml:space="preserve">group</w:t>
      </w:r>
      <w:r>
        <w:t xml:space="preserve"> </w:t>
      </w:r>
      <w:r>
        <w:t xml:space="preserve">polymorphisms</w:t>
      </w:r>
      <w:r>
        <w:t xml:space="preserve"> </w:t>
      </w:r>
      <w:r>
        <w:t xml:space="preserve">has</w:t>
      </w:r>
      <w:r>
        <w:t xml:space="preserve"> </w:t>
      </w:r>
      <w:r>
        <w:t xml:space="preserve">been</w:t>
      </w:r>
      <w:r>
        <w:t xml:space="preserve"> </w:t>
      </w:r>
      <w:r>
        <w:t xml:space="preserve">studied</w:t>
      </w:r>
      <w:r>
        <w:t xml:space="preserve"> </w:t>
      </w:r>
      <w:r>
        <w:t xml:space="preserve">with</w:t>
      </w:r>
      <w:r>
        <w:t xml:space="preserve"> </w:t>
      </w:r>
      <w:r>
        <w:t xml:space="preserve">results</w:t>
      </w:r>
      <w:r>
        <w:t xml:space="preserve"> </w:t>
      </w:r>
      <w:r>
        <w:t xml:space="preserve">that</w:t>
      </w:r>
      <w:r>
        <w:t xml:space="preserve"> </w:t>
      </w:r>
      <w:r>
        <w:t xml:space="preserve">are</w:t>
      </w:r>
      <w:r>
        <w:t xml:space="preserve"> </w:t>
      </w:r>
      <w:r>
        <w:t xml:space="preserve">still</w:t>
      </w:r>
      <w:r>
        <w:t xml:space="preserve"> </w:t>
      </w:r>
      <w:r>
        <w:t xml:space="preserve">unclear.</w:t>
      </w:r>
      <w:r>
        <w:t xml:space="preserve"> </w:t>
      </w:r>
      <w:r>
        <w:t xml:space="preserve">The</w:t>
      </w:r>
      <w:r>
        <w:t xml:space="preserve"> </w:t>
      </w:r>
      <w:r>
        <w:t xml:space="preserve">aim</w:t>
      </w:r>
      <w:r>
        <w:t xml:space="preserve"> </w:t>
      </w:r>
      <w:r>
        <w:t xml:space="preserve">of</w:t>
      </w:r>
      <w:r>
        <w:t xml:space="preserve"> </w:t>
      </w:r>
      <w:r>
        <w:t xml:space="preserve">this</w:t>
      </w:r>
      <w:r>
        <w:t xml:space="preserve"> </w:t>
      </w:r>
      <w:r>
        <w:t xml:space="preserve">study</w:t>
      </w:r>
      <w:r>
        <w:t xml:space="preserve"> </w:t>
      </w:r>
      <w:r>
        <w:t xml:space="preserve">was</w:t>
      </w:r>
      <w:r>
        <w:t xml:space="preserve"> </w:t>
      </w:r>
      <w:r>
        <w:t xml:space="preserve">to</w:t>
      </w:r>
      <w:r>
        <w:t xml:space="preserve"> </w:t>
      </w:r>
      <w:r>
        <w:t xml:space="preserve">collect</w:t>
      </w:r>
      <w:r>
        <w:t xml:space="preserve"> </w:t>
      </w:r>
      <w:r>
        <w:t xml:space="preserve">and</w:t>
      </w:r>
      <w:r>
        <w:t xml:space="preserve"> </w:t>
      </w:r>
      <w:r>
        <w:t xml:space="preserve">meta-analyze</w:t>
      </w:r>
      <w:r>
        <w:t xml:space="preserve"> </w:t>
      </w:r>
      <w:r>
        <w:t xml:space="preserve">available</w:t>
      </w:r>
      <w:r>
        <w:t xml:space="preserve"> </w:t>
      </w:r>
      <w:r>
        <w:t xml:space="preserve">studies</w:t>
      </w:r>
      <w:r>
        <w:t xml:space="preserve"> </w:t>
      </w:r>
      <w:r>
        <w:t xml:space="preserve">on</w:t>
      </w:r>
      <w:r>
        <w:t xml:space="preserve"> </w:t>
      </w:r>
      <w:r>
        <w:t xml:space="preserve">the</w:t>
      </w:r>
      <w:r>
        <w:t xml:space="preserve"> </w:t>
      </w:r>
      <w:r>
        <w:t xml:space="preserve">relationship</w:t>
      </w:r>
      <w:r>
        <w:t xml:space="preserve"> </w:t>
      </w:r>
      <w:r>
        <w:t xml:space="preserve">between</w:t>
      </w:r>
      <w:r>
        <w:t xml:space="preserve"> </w:t>
      </w:r>
      <w:r>
        <w:t xml:space="preserve">SARS-CoV-2</w:t>
      </w:r>
      <w:r>
        <w:t xml:space="preserve"> </w:t>
      </w:r>
      <w:r>
        <w:t xml:space="preserve">infection</w:t>
      </w:r>
      <w:r>
        <w:t xml:space="preserve"> </w:t>
      </w:r>
      <w:r>
        <w:t xml:space="preserve">and</w:t>
      </w:r>
      <w:r>
        <w:t xml:space="preserve"> </w:t>
      </w:r>
      <w:r>
        <w:t xml:space="preserve">different</w:t>
      </w:r>
      <w:r>
        <w:t xml:space="preserve"> </w:t>
      </w:r>
      <w:r>
        <w:t xml:space="preserve">blood</w:t>
      </w:r>
      <w:r>
        <w:t xml:space="preserve"> </w:t>
      </w:r>
      <w:r>
        <w:t xml:space="preserve">groups,</w:t>
      </w:r>
      <w:r>
        <w:t xml:space="preserve"> </w:t>
      </w:r>
      <w:r>
        <w:t xml:space="preserve">as</w:t>
      </w:r>
      <w:r>
        <w:t xml:space="preserve"> </w:t>
      </w:r>
      <w:r>
        <w:t xml:space="preserve">well</w:t>
      </w:r>
      <w:r>
        <w:t xml:space="preserve"> </w:t>
      </w:r>
      <w:r>
        <w:t xml:space="preserve">as</w:t>
      </w:r>
      <w:r>
        <w:t xml:space="preserve"> </w:t>
      </w:r>
      <w:r>
        <w:t xml:space="preserve">Rhesus</w:t>
      </w:r>
      <w:r>
        <w:t xml:space="preserve"> </w:t>
      </w:r>
      <w:r>
        <w:t xml:space="preserve">state.</w:t>
      </w:r>
      <w:r>
        <w:t xml:space="preserve"> </w:t>
      </w:r>
      <w:r>
        <w:t xml:space="preserve">We</w:t>
      </w:r>
      <w:r>
        <w:t xml:space="preserve"> </w:t>
      </w:r>
      <w:r>
        <w:t xml:space="preserve">performed</w:t>
      </w:r>
      <w:r>
        <w:t xml:space="preserve"> </w:t>
      </w:r>
      <w:r>
        <w:t xml:space="preserve">a</w:t>
      </w:r>
      <w:r>
        <w:t xml:space="preserve"> </w:t>
      </w:r>
      <w:r>
        <w:t xml:space="preserve">systematic</w:t>
      </w:r>
      <w:r>
        <w:t xml:space="preserve"> </w:t>
      </w:r>
      <w:r>
        <w:t xml:space="preserve">search</w:t>
      </w:r>
      <w:r>
        <w:t xml:space="preserve"> </w:t>
      </w:r>
      <w:r>
        <w:t xml:space="preserve">on</w:t>
      </w:r>
      <w:r>
        <w:t xml:space="preserve"> </w:t>
      </w:r>
      <w:r>
        <w:t xml:space="preserve">PubMed/MEDLINE</w:t>
      </w:r>
      <w:r>
        <w:t xml:space="preserve"> </w:t>
      </w:r>
      <w:r>
        <w:t xml:space="preserve">and</w:t>
      </w:r>
      <w:r>
        <w:t xml:space="preserve"> </w:t>
      </w:r>
      <w:r>
        <w:t xml:space="preserve">Scopus</w:t>
      </w:r>
      <w:r>
        <w:t xml:space="preserve"> </w:t>
      </w:r>
      <w:r>
        <w:t xml:space="preserve">databases</w:t>
      </w:r>
      <w:r>
        <w:t xml:space="preserve"> </w:t>
      </w:r>
      <w:r>
        <w:t xml:space="preserve">for</w:t>
      </w:r>
      <w:r>
        <w:t xml:space="preserve"> </w:t>
      </w:r>
      <w:r>
        <w:t xml:space="preserve">published</w:t>
      </w:r>
      <w:r>
        <w:t xml:space="preserve"> </w:t>
      </w:r>
      <w:r>
        <w:t xml:space="preserve">articles</w:t>
      </w:r>
      <w:r>
        <w:t xml:space="preserve"> </w:t>
      </w:r>
      <w:r>
        <w:t xml:space="preserve">and</w:t>
      </w:r>
      <w:r>
        <w:t xml:space="preserve"> </w:t>
      </w:r>
      <w:r>
        <w:t xml:space="preserve">preprints.</w:t>
      </w:r>
      <w:r>
        <w:t xml:space="preserve"> </w:t>
      </w:r>
      <w:r>
        <w:t xml:space="preserve">Twenty-two</w:t>
      </w:r>
      <w:r>
        <w:t xml:space="preserve"> </w:t>
      </w:r>
      <w:r>
        <w:t xml:space="preserve">studies,</w:t>
      </w:r>
      <w:r>
        <w:t xml:space="preserve"> </w:t>
      </w:r>
      <w:r>
        <w:t xml:space="preserve">after</w:t>
      </w:r>
      <w:r>
        <w:t xml:space="preserve"> </w:t>
      </w:r>
      <w:r>
        <w:t xml:space="preserve">the</w:t>
      </w:r>
      <w:r>
        <w:t xml:space="preserve"> </w:t>
      </w:r>
      <w:r>
        <w:t xml:space="preserve">removal</w:t>
      </w:r>
      <w:r>
        <w:t xml:space="preserve"> </w:t>
      </w:r>
      <w:r>
        <w:t xml:space="preserve">of</w:t>
      </w:r>
      <w:r>
        <w:t xml:space="preserve"> </w:t>
      </w:r>
      <w:r>
        <w:t xml:space="preserve">duplicates,</w:t>
      </w:r>
      <w:r>
        <w:t xml:space="preserve"> </w:t>
      </w:r>
      <w:r>
        <w:t xml:space="preserve">met</w:t>
      </w:r>
      <w:r>
        <w:t xml:space="preserve"> </w:t>
      </w:r>
      <w:r>
        <w:t xml:space="preserve">the</w:t>
      </w:r>
      <w:r>
        <w:t xml:space="preserve"> </w:t>
      </w:r>
      <w:r>
        <w:t xml:space="preserve">inclusion</w:t>
      </w:r>
      <w:r>
        <w:t xml:space="preserve"> </w:t>
      </w:r>
      <w:r>
        <w:t xml:space="preserve">criteria</w:t>
      </w:r>
      <w:r>
        <w:t xml:space="preserve"> </w:t>
      </w:r>
      <w:r>
        <w:t xml:space="preserve">for</w:t>
      </w:r>
      <w:r>
        <w:t xml:space="preserve"> </w:t>
      </w:r>
      <w:r>
        <w:t xml:space="preserve">meta-analysis</w:t>
      </w:r>
      <w:r>
        <w:t xml:space="preserve"> </w:t>
      </w:r>
      <w:r>
        <w:t xml:space="preserve">with</w:t>
      </w:r>
      <w:r>
        <w:t xml:space="preserve"> </w:t>
      </w:r>
      <w:r>
        <w:t xml:space="preserve">ten</w:t>
      </w:r>
      <w:r>
        <w:t xml:space="preserve"> </w:t>
      </w:r>
      <w:r>
        <w:t xml:space="preserve">of</w:t>
      </w:r>
      <w:r>
        <w:t xml:space="preserve"> </w:t>
      </w:r>
      <w:r>
        <w:t xml:space="preserve">them</w:t>
      </w:r>
      <w:r>
        <w:t xml:space="preserve"> </w:t>
      </w:r>
      <w:r>
        <w:t xml:space="preserve">also</w:t>
      </w:r>
      <w:r>
        <w:t xml:space="preserve"> </w:t>
      </w:r>
      <w:r>
        <w:t xml:space="preserve">including</w:t>
      </w:r>
      <w:r>
        <w:t xml:space="preserve"> </w:t>
      </w:r>
      <w:r>
        <w:t xml:space="preserve">information</w:t>
      </w:r>
      <w:r>
        <w:t xml:space="preserve"> </w:t>
      </w:r>
      <w:r>
        <w:t xml:space="preserve">on</w:t>
      </w:r>
      <w:r>
        <w:t xml:space="preserve"> </w:t>
      </w:r>
      <w:r>
        <w:t xml:space="preserve">Rhesus</w:t>
      </w:r>
      <w:r>
        <w:t xml:space="preserve"> </w:t>
      </w:r>
      <w:r>
        <w:t xml:space="preserve">factor.</w:t>
      </w:r>
      <w:r>
        <w:t xml:space="preserve"> </w:t>
      </w:r>
      <w:r>
        <w:t xml:space="preserve">The</w:t>
      </w:r>
      <w:r>
        <w:t xml:space="preserve"> </w:t>
      </w:r>
      <w:r>
        <w:t xml:space="preserve">odds</w:t>
      </w:r>
      <w:r>
        <w:t xml:space="preserve"> </w:t>
      </w:r>
      <w:r>
        <w:t xml:space="preserve">ratios</w:t>
      </w:r>
      <w:r>
        <w:t xml:space="preserve"> </w:t>
      </w:r>
      <w:r>
        <w:t xml:space="preserve">(OR)</w:t>
      </w:r>
      <w:r>
        <w:t xml:space="preserve"> </w:t>
      </w:r>
      <w:r>
        <w:t xml:space="preserve">and</w:t>
      </w:r>
      <w:r>
        <w:t xml:space="preserve"> </w:t>
      </w:r>
      <w:r>
        <w:t xml:space="preserve">95%</w:t>
      </w:r>
      <w:r>
        <w:t xml:space="preserve"> </w:t>
      </w:r>
      <w:r>
        <w:t xml:space="preserve">confidence</w:t>
      </w:r>
      <w:r>
        <w:t xml:space="preserve"> </w:t>
      </w:r>
      <w:r>
        <w:t xml:space="preserve">intervals</w:t>
      </w:r>
      <w:r>
        <w:t xml:space="preserve"> </w:t>
      </w:r>
      <w:r>
        <w:t xml:space="preserve">(CI)</w:t>
      </w:r>
      <w:r>
        <w:t xml:space="preserve"> </w:t>
      </w:r>
      <w:r>
        <w:t xml:space="preserve">were</w:t>
      </w:r>
      <w:r>
        <w:t xml:space="preserve"> </w:t>
      </w:r>
      <w:r>
        <w:t xml:space="preserve">calculated</w:t>
      </w:r>
      <w:r>
        <w:t xml:space="preserve"> </w:t>
      </w:r>
      <w:r>
        <w:t xml:space="preserve">for</w:t>
      </w:r>
      <w:r>
        <w:t xml:space="preserve"> </w:t>
      </w:r>
      <w:r>
        <w:t xml:space="preserve">the</w:t>
      </w:r>
      <w:r>
        <w:t xml:space="preserve"> </w:t>
      </w:r>
      <w:r>
        <w:t xml:space="preserve">extracted</w:t>
      </w:r>
      <w:r>
        <w:t xml:space="preserve"> </w:t>
      </w:r>
      <w:r>
        <w:t xml:space="preserve">data.</w:t>
      </w:r>
      <w:r>
        <w:t xml:space="preserve"> </w:t>
      </w:r>
      <w:r>
        <w:t xml:space="preserve">Random-effects</w:t>
      </w:r>
      <w:r>
        <w:t xml:space="preserve"> </w:t>
      </w:r>
      <w:r>
        <w:t xml:space="preserve">models</w:t>
      </w:r>
      <w:r>
        <w:t xml:space="preserve"> </w:t>
      </w:r>
      <w:r>
        <w:t xml:space="preserve">were</w:t>
      </w:r>
      <w:r>
        <w:t xml:space="preserve"> </w:t>
      </w:r>
      <w:r>
        <w:t xml:space="preserve">used</w:t>
      </w:r>
      <w:r>
        <w:t xml:space="preserve"> </w:t>
      </w:r>
      <w:r>
        <w:t xml:space="preserve">to</w:t>
      </w:r>
      <w:r>
        <w:t xml:space="preserve"> </w:t>
      </w:r>
      <w:r>
        <w:t xml:space="preserve">obtain</w:t>
      </w:r>
      <w:r>
        <w:t xml:space="preserve"> </w:t>
      </w:r>
      <w:r>
        <w:t xml:space="preserve">the</w:t>
      </w:r>
      <w:r>
        <w:t xml:space="preserve"> </w:t>
      </w:r>
      <w:r>
        <w:t xml:space="preserve">overall</w:t>
      </w:r>
      <w:r>
        <w:t xml:space="preserve"> </w:t>
      </w:r>
      <w:r>
        <w:t xml:space="preserve">pooled</w:t>
      </w:r>
      <w:r>
        <w:t xml:space="preserve"> </w:t>
      </w:r>
      <w:r>
        <w:t xml:space="preserve">ORs.</w:t>
      </w:r>
      <w:r>
        <w:t xml:space="preserve"> </w:t>
      </w:r>
      <w:r>
        <w:t xml:space="preserve">Publication</w:t>
      </w:r>
      <w:r>
        <w:t xml:space="preserve"> </w:t>
      </w:r>
      <w:r>
        <w:t xml:space="preserve">bias</w:t>
      </w:r>
      <w:r>
        <w:t xml:space="preserve"> </w:t>
      </w:r>
      <w:r>
        <w:t xml:space="preserve">and</w:t>
      </w:r>
      <w:r>
        <w:t xml:space="preserve"> </w:t>
      </w:r>
      <w:r>
        <w:t xml:space="preserve">sensitivity</w:t>
      </w:r>
      <w:r>
        <w:t xml:space="preserve"> </w:t>
      </w:r>
      <w:r>
        <w:t xml:space="preserve">analysis</w:t>
      </w:r>
      <w:r>
        <w:t xml:space="preserve"> </w:t>
      </w:r>
      <w:r>
        <w:t xml:space="preserve">were</w:t>
      </w:r>
      <w:r>
        <w:t xml:space="preserve"> </w:t>
      </w:r>
      <w:r>
        <w:t xml:space="preserve">also</w:t>
      </w:r>
      <w:r>
        <w:t xml:space="preserve"> </w:t>
      </w:r>
      <w:r>
        <w:t xml:space="preserve">performed.</w:t>
      </w:r>
      <w:r>
        <w:t xml:space="preserve"> </w:t>
      </w:r>
      <w:r>
        <w:t xml:space="preserve">Our</w:t>
      </w:r>
      <w:r>
        <w:t xml:space="preserve"> </w:t>
      </w:r>
      <w:r>
        <w:t xml:space="preserve">results</w:t>
      </w:r>
      <w:r>
        <w:t xml:space="preserve"> </w:t>
      </w:r>
      <w:r>
        <w:t xml:space="preserve">indicate</w:t>
      </w:r>
      <w:r>
        <w:t xml:space="preserve"> </w:t>
      </w:r>
      <w:r>
        <w:t xml:space="preserve">that</w:t>
      </w:r>
      <w:r>
        <w:t xml:space="preserve"> </w:t>
      </w:r>
      <w:r>
        <w:t xml:space="preserve">blood</w:t>
      </w:r>
      <w:r>
        <w:t xml:space="preserve"> </w:t>
      </w:r>
      <w:r>
        <w:t xml:space="preserve">groups</w:t>
      </w:r>
      <w:r>
        <w:t xml:space="preserve"> </w:t>
      </w:r>
      <w:r>
        <w:t xml:space="preserve">A,</w:t>
      </w:r>
      <w:r>
        <w:t xml:space="preserve"> </w:t>
      </w:r>
      <w:r>
        <w:t xml:space="preserve">B</w:t>
      </w:r>
      <w:r>
        <w:t xml:space="preserve"> </w:t>
      </w:r>
      <w:r>
        <w:t xml:space="preserve">and</w:t>
      </w:r>
      <w:r>
        <w:t xml:space="preserve"> </w:t>
      </w:r>
      <w:r>
        <w:t xml:space="preserve">AB</w:t>
      </w:r>
      <w:r>
        <w:t xml:space="preserve"> </w:t>
      </w:r>
      <w:r>
        <w:t xml:space="preserve">have</w:t>
      </w:r>
      <w:r>
        <w:t xml:space="preserve"> </w:t>
      </w:r>
      <w:r>
        <w:t xml:space="preserve">a</w:t>
      </w:r>
      <w:r>
        <w:t xml:space="preserve"> </w:t>
      </w:r>
      <w:r>
        <w:t xml:space="preserve">higher</w:t>
      </w:r>
      <w:r>
        <w:t xml:space="preserve"> </w:t>
      </w:r>
      <w:r>
        <w:t xml:space="preserve">risk</w:t>
      </w:r>
      <w:r>
        <w:t xml:space="preserve"> </w:t>
      </w:r>
      <w:r>
        <w:t xml:space="preserve">for</w:t>
      </w:r>
      <w:r>
        <w:t xml:space="preserve"> </w:t>
      </w:r>
      <w:r>
        <w:t xml:space="preserve">COVID-19</w:t>
      </w:r>
      <w:r>
        <w:t xml:space="preserve"> </w:t>
      </w:r>
      <w:r>
        <w:t xml:space="preserve">infection</w:t>
      </w:r>
      <w:r>
        <w:t xml:space="preserve"> </w:t>
      </w:r>
      <w:r>
        <w:t xml:space="preserve">compared</w:t>
      </w:r>
      <w:r>
        <w:t xml:space="preserve"> </w:t>
      </w:r>
      <w:r>
        <w:t xml:space="preserve">to</w:t>
      </w:r>
      <w:r>
        <w:t xml:space="preserve"> </w:t>
      </w:r>
      <w:r>
        <w:t xml:space="preserve">blood</w:t>
      </w:r>
      <w:r>
        <w:t xml:space="preserve"> </w:t>
      </w:r>
      <w:r>
        <w:t xml:space="preserve">group</w:t>
      </w:r>
      <w:r>
        <w:t xml:space="preserve"> </w:t>
      </w:r>
      <w:r>
        <w:t xml:space="preserve">O,</w:t>
      </w:r>
      <w:r>
        <w:t xml:space="preserve"> </w:t>
      </w:r>
      <w:r>
        <w:t xml:space="preserve">which</w:t>
      </w:r>
      <w:r>
        <w:t xml:space="preserve"> </w:t>
      </w:r>
      <w:r>
        <w:t xml:space="preserve">appears</w:t>
      </w:r>
      <w:r>
        <w:t xml:space="preserve"> </w:t>
      </w:r>
      <w:r>
        <w:t xml:space="preserve">to</w:t>
      </w:r>
      <w:r>
        <w:t xml:space="preserve"> </w:t>
      </w:r>
      <w:r>
        <w:t xml:space="preserve">have</w:t>
      </w:r>
      <w:r>
        <w:t xml:space="preserve"> </w:t>
      </w:r>
      <w:r>
        <w:t xml:space="preserve">a</w:t>
      </w:r>
      <w:r>
        <w:t xml:space="preserve"> </w:t>
      </w:r>
      <w:r>
        <w:t xml:space="preserve">protective</w:t>
      </w:r>
      <w:r>
        <w:t xml:space="preserve"> </w:t>
      </w:r>
      <w:r>
        <w:t xml:space="preserve">effect.</w:t>
      </w:r>
      <w:r>
        <w:t xml:space="preserve"> </w:t>
      </w:r>
      <w:r>
        <w:t xml:space="preserve">An</w:t>
      </w:r>
      <w:r>
        <w:t xml:space="preserve"> </w:t>
      </w:r>
      <w:r>
        <w:t xml:space="preserve">association</w:t>
      </w:r>
      <w:r>
        <w:t xml:space="preserve"> </w:t>
      </w:r>
      <w:r>
        <w:t xml:space="preserve">between</w:t>
      </w:r>
      <w:r>
        <w:t xml:space="preserve"> </w:t>
      </w:r>
      <w:r>
        <w:t xml:space="preserve">Rhesus</w:t>
      </w:r>
      <w:r>
        <w:t xml:space="preserve"> </w:t>
      </w:r>
      <w:r>
        <w:t xml:space="preserve">state</w:t>
      </w:r>
      <w:r>
        <w:t xml:space="preserve"> </w:t>
      </w:r>
      <w:r>
        <w:t xml:space="preserve">and</w:t>
      </w:r>
      <w:r>
        <w:t xml:space="preserve"> </w:t>
      </w:r>
      <w:r>
        <w:t xml:space="preserve">COVID-19</w:t>
      </w:r>
      <w:r>
        <w:t xml:space="preserve"> </w:t>
      </w:r>
      <w:r>
        <w:t xml:space="preserve">infection</w:t>
      </w:r>
      <w:r>
        <w:t xml:space="preserve"> </w:t>
      </w:r>
      <w:r>
        <w:t xml:space="preserve">could</w:t>
      </w:r>
      <w:r>
        <w:t xml:space="preserve"> </w:t>
      </w:r>
      <w:r>
        <w:t xml:space="preserve">not</w:t>
      </w:r>
      <w:r>
        <w:t xml:space="preserve"> </w:t>
      </w:r>
      <w:r>
        <w:t xml:space="preserve">be</w:t>
      </w:r>
      <w:r>
        <w:t xml:space="preserve"> </w:t>
      </w:r>
      <w:r>
        <w:t xml:space="preserve">estabished. </w:t>
      </w:r>
    </w:p>
    <w:p>
      <w:pPr>
        <w:pStyle w:val="Heading1"/>
      </w:pPr>
      <w:bookmarkStart w:id="21" w:name="introduction"/>
      <w:bookmarkEnd w:id="21"/>
      <w:r>
        <w:t xml:space="preserve">Introduction</w:t>
      </w:r>
    </w:p>
    <w:p>
      <w:pPr>
        <w:pStyle w:val="FirstParagraph"/>
      </w:pPr>
      <w:r>
        <w:t xml:space="preserve">Coronaviruses (COVs) are enveloped viruses with a single</w:t>
      </w:r>
      <w:r>
        <w:t xml:space="preserve"> </w:t>
      </w:r>
      <w:r>
        <w:t xml:space="preserve">positive-stranded RNA genome. They belong to the subfamily</w:t>
      </w:r>
      <w:r>
        <w:t xml:space="preserve"> </w:t>
      </w:r>
      <w:r>
        <w:t xml:space="preserve">Orthocoronavirinae under the family Coronaviridae and are classified</w:t>
      </w:r>
      <w:r>
        <w:t xml:space="preserve"> </w:t>
      </w:r>
      <w:r>
        <w:t xml:space="preserve">into four genera: Alphacoronaviruses (α), Betacoronaviruses (β),</w:t>
      </w:r>
      <w:r>
        <w:t xml:space="preserve"> </w:t>
      </w:r>
      <w:r>
        <w:t xml:space="preserve">Gammacoronaviruses (γ) and Deltacoronaviruses (δ). The viral genome</w:t>
      </w:r>
      <w:r>
        <w:t xml:space="preserve"> </w:t>
      </w:r>
      <w:r>
        <w:t xml:space="preserve">normally encodes four structural proteins, spike (S), envelope (E),</w:t>
      </w:r>
      <w:r>
        <w:t xml:space="preserve"> </w:t>
      </w:r>
      <w:r>
        <w:t xml:space="preserve">membrane (M), and nucleocapsid (N)</w:t>
      </w:r>
      <w:r>
        <w:rPr>
          <w:b/>
        </w:rPr>
        <w:t xml:space="preserve"> </w:t>
      </w:r>
      <w:r>
        <w:t xml:space="preserve">(Ren et al. 2020) . The</w:t>
      </w:r>
      <w:r>
        <w:t xml:space="preserve"> </w:t>
      </w:r>
      <w:r>
        <w:t xml:space="preserve">term </w:t>
      </w:r>
      <w:r>
        <w:rPr>
          <w:i/>
        </w:rPr>
        <w:t xml:space="preserve">coronavirus </w:t>
      </w:r>
      <w:r>
        <w:t xml:space="preserve">refers to the appearance of CoV visions, when</w:t>
      </w:r>
      <w:r>
        <w:t xml:space="preserve"> </w:t>
      </w:r>
      <w:r>
        <w:t xml:space="preserve">observed under electron microscopy, in which spike projections from the</w:t>
      </w:r>
      <w:r>
        <w:t xml:space="preserve"> </w:t>
      </w:r>
      <w:r>
        <w:t xml:space="preserve">virus membrane, give the semblance of a crown, or corona in</w:t>
      </w:r>
      <w:r>
        <w:t xml:space="preserve"> </w:t>
      </w:r>
      <w:r>
        <w:t xml:space="preserve">Latin (Su et al. 2016) . To date, seven human CoVs (HCoVs) are known.</w:t>
      </w:r>
      <w:r>
        <w:t xml:space="preserve"> </w:t>
      </w:r>
      <w:r>
        <w:t xml:space="preserve">Among them, HCoV-229E and HCoV-NL63 are alpha-CoVs. The other five</w:t>
      </w:r>
      <w:r>
        <w:t xml:space="preserve"> </w:t>
      </w:r>
      <w:r>
        <w:t xml:space="preserve">beta-CoVs include HCoV-OC43, HCoV-HKU1, Severe Acute Respiratory</w:t>
      </w:r>
      <w:r>
        <w:t xml:space="preserve"> </w:t>
      </w:r>
      <w:r>
        <w:t xml:space="preserve">Syndrome Coronavirus (SARS-CoV), Middle East Respiratory Syndrome</w:t>
      </w:r>
      <w:r>
        <w:t xml:space="preserve"> </w:t>
      </w:r>
      <w:r>
        <w:t xml:space="preserve">Coronavirus (MERS-CoV) and  Severe Acute Respiratory Syndrome</w:t>
      </w:r>
      <w:r>
        <w:t xml:space="preserve"> </w:t>
      </w:r>
      <w:r>
        <w:t xml:space="preserve">Coronavirus 2 (SARS-CoV-2) (Ye et al. 2020) . In December 2019, a</w:t>
      </w:r>
      <w:r>
        <w:t xml:space="preserve"> </w:t>
      </w:r>
      <w:r>
        <w:t xml:space="preserve">human outbreak of pneumonia, later named coronavirus disease (COVID-19),</w:t>
      </w:r>
      <w:r>
        <w:t xml:space="preserve"> </w:t>
      </w:r>
      <w:r>
        <w:t xml:space="preserve">began spreading across the planet, infecting millions. The causative</w:t>
      </w:r>
      <w:r>
        <w:t xml:space="preserve"> </w:t>
      </w:r>
      <w:r>
        <w:t xml:space="preserve">agent of COVID-19 was quickly identified as a novel coronavirus, the</w:t>
      </w:r>
      <w:r>
        <w:t xml:space="preserve"> </w:t>
      </w:r>
      <w:r>
        <w:t xml:space="preserve">Severe Acute Respiratory Syndrome Coronavirus 2 (SARS-CoV-2). Although</w:t>
      </w:r>
      <w:r>
        <w:t xml:space="preserve"> </w:t>
      </w:r>
      <w:r>
        <w:t xml:space="preserve">close evolutionary relationships to bat CoVs suggest a bat origin for</w:t>
      </w:r>
      <w:r>
        <w:t xml:space="preserve"> </w:t>
      </w:r>
      <w:r>
        <w:t xml:space="preserve">SARS-CoV-2, our understanding is notably limited by the scarcity of</w:t>
      </w:r>
      <w:r>
        <w:t xml:space="preserve"> </w:t>
      </w:r>
      <w:r>
        <w:t xml:space="preserve">available sequenced CoV genome (Banerjee et al. 2021). As a novel beta</w:t>
      </w:r>
      <w:r>
        <w:t xml:space="preserve"> </w:t>
      </w:r>
      <w:r>
        <w:t xml:space="preserve">coronavirus, SARS-CoV-2 shares 79% genome sequence identity with</w:t>
      </w:r>
      <w:r>
        <w:t xml:space="preserve"> </w:t>
      </w:r>
      <w:r>
        <w:t xml:space="preserve">SARS-CoV and 50% with MERS-CoV. Its genome organization is shared with</w:t>
      </w:r>
      <w:r>
        <w:t xml:space="preserve"> </w:t>
      </w:r>
      <w:r>
        <w:t xml:space="preserve">other beta coronaviruses (Hu et al. 2021). </w:t>
      </w:r>
    </w:p>
    <w:p>
      <w:pPr>
        <w:pStyle w:val="BodyText"/>
      </w:pPr>
      <w:r>
        <w:t xml:space="preserve">The spike protein S appears to be critical for cellular entry because it</w:t>
      </w:r>
      <w:r>
        <w:t xml:space="preserve"> </w:t>
      </w:r>
      <w:r>
        <w:t xml:space="preserve">guides the virus to attach to the host cell. The receptor-binding domain</w:t>
      </w:r>
      <w:r>
        <w:t xml:space="preserve"> </w:t>
      </w:r>
      <w:r>
        <w:t xml:space="preserve">(RBD) of the spike protein S binds to Angiotensin-Converting Enzyme 2</w:t>
      </w:r>
      <w:r>
        <w:t xml:space="preserve"> </w:t>
      </w:r>
      <w:r>
        <w:t xml:space="preserve">(ACE2) to initiate cellular entry (Pillay 2020). The SARS-CoV-2</w:t>
      </w:r>
      <w:r>
        <w:t xml:space="preserve"> </w:t>
      </w:r>
      <w:r>
        <w:t xml:space="preserve">virus typically causes respiratory and gastrointestinal sickness. It can</w:t>
      </w:r>
      <w:r>
        <w:t xml:space="preserve"> </w:t>
      </w:r>
      <w:r>
        <w:t xml:space="preserve">be transmitted through aerosols and direct or indirect contact, as well</w:t>
      </w:r>
      <w:r>
        <w:t xml:space="preserve"> </w:t>
      </w:r>
      <w:r>
        <w:t xml:space="preserve">as during medical cases and laboratory sample handling. The disease is</w:t>
      </w:r>
      <w:r>
        <w:t xml:space="preserve"> </w:t>
      </w:r>
      <w:r>
        <w:t xml:space="preserve">characterized by symptoms such as high fever, chills, cough, breathing</w:t>
      </w:r>
      <w:r>
        <w:t xml:space="preserve"> </w:t>
      </w:r>
      <w:r>
        <w:t xml:space="preserve">difficulty, diarrhea, myalgia, fatigue and may occasionally lead to</w:t>
      </w:r>
      <w:r>
        <w:t xml:space="preserve"> </w:t>
      </w:r>
      <w:r>
        <w:t xml:space="preserve">complications like pneumonia, severe acute respiratory syndrome (SARS)</w:t>
      </w:r>
      <w:r>
        <w:t xml:space="preserve"> </w:t>
      </w:r>
      <w:r>
        <w:t xml:space="preserve">and eventually death (Pal et al. 2020). </w:t>
      </w:r>
    </w:p>
    <w:p>
      <w:pPr>
        <w:pStyle w:val="BodyText"/>
      </w:pPr>
      <w:r>
        <w:t xml:space="preserve">After the ABO blood group system was found by Karl Landsteiner in 1901,</w:t>
      </w:r>
      <w:r>
        <w:t xml:space="preserve"> </w:t>
      </w:r>
      <w:r>
        <w:t xml:space="preserve">the search for the relationship between blood groups and various</w:t>
      </w:r>
      <w:r>
        <w:t xml:space="preserve"> </w:t>
      </w:r>
      <w:r>
        <w:t xml:space="preserve">diseases has continued uninterrupted (Wu et al. 2020). Recently,</w:t>
      </w:r>
      <w:r>
        <w:t xml:space="preserve"> </w:t>
      </w:r>
      <w:r>
        <w:t xml:space="preserve">several studies have reported an association between blood group and</w:t>
      </w:r>
      <w:r>
        <w:t xml:space="preserve"> </w:t>
      </w:r>
      <w:r>
        <w:t xml:space="preserve">SARS-CoV-2 infection. However, results are conflicting, perhaps due to</w:t>
      </w:r>
      <w:r>
        <w:t xml:space="preserve"> </w:t>
      </w:r>
      <w:r>
        <w:t xml:space="preserve">the potential effect of  multiple confounding effects, and controversy</w:t>
      </w:r>
      <w:r>
        <w:t xml:space="preserve"> </w:t>
      </w:r>
      <w:r>
        <w:t xml:space="preserve">remains with respect to the role of blood type on COVID-19</w:t>
      </w:r>
      <w:r>
        <w:t xml:space="preserve"> </w:t>
      </w:r>
      <w:r>
        <w:t xml:space="preserve">infection (Liu et al. 2020). We performed a meta-analysis to assess the</w:t>
      </w:r>
      <w:r>
        <w:t xml:space="preserve"> </w:t>
      </w:r>
      <w:r>
        <w:t xml:space="preserve">association between ABO blood groups, Rhesus state and COVID-19</w:t>
      </w:r>
      <w:r>
        <w:t xml:space="preserve"> </w:t>
      </w:r>
      <w:r>
        <w:t xml:space="preserve">infection.</w:t>
      </w:r>
    </w:p>
    <w:p>
      <w:pPr>
        <w:pStyle w:val="Heading1"/>
      </w:pPr>
      <w:bookmarkStart w:id="22" w:name="materials-and-methods"/>
      <w:bookmarkEnd w:id="22"/>
      <w:r>
        <w:t xml:space="preserve">Materials and Methods</w:t>
      </w:r>
    </w:p>
    <w:p>
      <w:pPr>
        <w:pStyle w:val="Heading2"/>
      </w:pPr>
      <w:bookmarkStart w:id="23" w:name="search-strategy"/>
      <w:bookmarkEnd w:id="23"/>
      <w:r>
        <w:t xml:space="preserve">Search strategy</w:t>
      </w:r>
    </w:p>
    <w:p>
      <w:pPr>
        <w:pStyle w:val="FirstParagraph"/>
      </w:pPr>
      <w:r>
        <w:t xml:space="preserve">A systematic online search for published literature was carried out in</w:t>
      </w:r>
      <w:r>
        <w:t xml:space="preserve"> </w:t>
      </w:r>
      <w:r>
        <w:t xml:space="preserve">PubMed/MEDLINE and Scopus databases, including unpublished articles,</w:t>
      </w:r>
      <w:r>
        <w:t xml:space="preserve"> </w:t>
      </w:r>
      <w:r>
        <w:t xml:space="preserve">with the MESH (medical subject heading) terms</w:t>
      </w:r>
      <w:r>
        <w:t xml:space="preserve"> </w:t>
      </w:r>
      <w:r>
        <w:t xml:space="preserve">‘</w:t>
      </w:r>
      <w:r>
        <w:t xml:space="preserve">’ABO blood groups</w:t>
      </w:r>
      <w:r>
        <w:t xml:space="preserve">’</w:t>
      </w:r>
      <w:r>
        <w:t xml:space="preserve">‘</w:t>
      </w:r>
      <w:r>
        <w:t xml:space="preserve"> </w:t>
      </w:r>
      <w:r>
        <w:t xml:space="preserve">and</w:t>
      </w:r>
      <w:r>
        <w:t xml:space="preserve"> </w:t>
      </w:r>
      <w:r>
        <w:t xml:space="preserve">’</w:t>
      </w:r>
      <w:r>
        <w:t xml:space="preserve">‘</w:t>
      </w:r>
      <w:r>
        <w:t xml:space="preserve">COVID-19</w:t>
      </w:r>
      <w:r>
        <w:t xml:space="preserve">’</w:t>
      </w:r>
      <w:r>
        <w:t xml:space="preserve">‘</w:t>
      </w:r>
      <w:r>
        <w:t xml:space="preserve">. In order to expand our search scale, we also conducted a</w:t>
      </w:r>
      <w:r>
        <w:t xml:space="preserve"> </w:t>
      </w:r>
      <w:r>
        <w:t xml:space="preserve">full-text search with the relevant terms (</w:t>
      </w:r>
      <w:r>
        <w:t xml:space="preserve">’</w:t>
      </w:r>
      <w:r>
        <w:t xml:space="preserve">‘</w:t>
      </w:r>
      <w:r>
        <w:t xml:space="preserve">SARS-CoV-2 infection</w:t>
      </w:r>
      <w:r>
        <w:t xml:space="preserve">’</w:t>
      </w:r>
      <w:r>
        <w:t xml:space="preserve">‘</w:t>
      </w:r>
      <w:r>
        <w:t xml:space="preserve">,</w:t>
      </w:r>
      <w:r>
        <w:t xml:space="preserve"> </w:t>
      </w:r>
      <w:r>
        <w:t xml:space="preserve">’</w:t>
      </w:r>
      <w:r>
        <w:t xml:space="preserve">‘</w:t>
      </w:r>
      <w:r>
        <w:t xml:space="preserve">2019-nCoV infection</w:t>
      </w:r>
      <w:r>
        <w:t xml:space="preserve">’</w:t>
      </w:r>
      <w:r>
        <w:t xml:space="preserve">‘</w:t>
      </w:r>
      <w:r>
        <w:t xml:space="preserve">,</w:t>
      </w:r>
      <w:r>
        <w:t xml:space="preserve"> </w:t>
      </w:r>
      <w:r>
        <w:t xml:space="preserve">’</w:t>
      </w:r>
      <w:r>
        <w:t xml:space="preserve">‘</w:t>
      </w:r>
      <w:r>
        <w:t xml:space="preserve">novel coronavirus infection</w:t>
      </w:r>
      <w:r>
        <w:t xml:space="preserve">’</w:t>
      </w:r>
      <w:r>
        <w:t xml:space="preserve">‘</w:t>
      </w:r>
      <w:r>
        <w:t xml:space="preserve"> </w:t>
      </w:r>
      <w:r>
        <w:t xml:space="preserve">and</w:t>
      </w:r>
      <w:r>
        <w:t xml:space="preserve"> </w:t>
      </w:r>
      <w:r>
        <w:t xml:space="preserve">’</w:t>
      </w:r>
      <w:r>
        <w:t xml:space="preserve">‘</w:t>
      </w:r>
      <w:r>
        <w:t xml:space="preserve">ABO</w:t>
      </w:r>
      <w:r>
        <w:t xml:space="preserve"> </w:t>
      </w:r>
      <w:r>
        <w:t xml:space="preserve">polymorphisms</w:t>
      </w:r>
      <w:r>
        <w:t xml:space="preserve">’</w:t>
      </w:r>
      <w:r>
        <w:t xml:space="preserve">’). The searching time period was restricted between</w:t>
      </w:r>
      <w:r>
        <w:t xml:space="preserve"> </w:t>
      </w:r>
      <w:r>
        <w:t xml:space="preserve">February 1</w:t>
      </w:r>
      <w:r>
        <w:rPr>
          <w:vertAlign w:val="superscript"/>
        </w:rPr>
        <w:t xml:space="preserve">st </w:t>
      </w:r>
      <w:r>
        <w:t xml:space="preserve">2021 to March 7</w:t>
      </w:r>
      <w:r>
        <w:rPr>
          <w:vertAlign w:val="superscript"/>
        </w:rPr>
        <w:t xml:space="preserve">th </w:t>
      </w:r>
      <w:r>
        <w:t xml:space="preserve">2021</w:t>
      </w:r>
      <w:r>
        <w:t xml:space="preserve"> </w:t>
      </w:r>
      <w:r>
        <w:t xml:space="preserve">and we limited the search language to English, with no restrictions on</w:t>
      </w:r>
      <w:r>
        <w:t xml:space="preserve"> </w:t>
      </w:r>
      <w:r>
        <w:t xml:space="preserve">country or publication state.</w:t>
      </w:r>
    </w:p>
    <w:p>
      <w:pPr>
        <w:pStyle w:val="BodyText"/>
      </w:pPr>
      <w:r>
        <w:rPr>
          <w:b/>
        </w:rPr>
        <w:t xml:space="preserve">Study selection</w:t>
      </w:r>
    </w:p>
    <w:p>
      <w:pPr>
        <w:pStyle w:val="BodyText"/>
      </w:pPr>
      <w:r>
        <w:t xml:space="preserve">We included the studies that fulfilled the following inclusion criteria:</w:t>
      </w:r>
      <w:r>
        <w:t xml:space="preserve"> </w:t>
      </w:r>
      <w:r>
        <w:t xml:space="preserve">i) studies that reported an association between COVID-19 infection and</w:t>
      </w:r>
      <w:r>
        <w:t xml:space="preserve"> </w:t>
      </w:r>
      <w:r>
        <w:t xml:space="preserve">ABO blood groups and/or Rhesus state; ii) case-control and cohort</w:t>
      </w:r>
      <w:r>
        <w:t xml:space="preserve"> </w:t>
      </w:r>
      <w:r>
        <w:t xml:space="preserve">studies; iii) provision of original data. Excluded studies included: (i)</w:t>
      </w:r>
      <w:r>
        <w:t xml:space="preserve"> </w:t>
      </w:r>
      <w:r>
        <w:t xml:space="preserve">reviews, clinical guidelines, and expert consensus; (ii) animal or in</w:t>
      </w:r>
      <w:r>
        <w:t xml:space="preserve"> </w:t>
      </w:r>
      <w:r>
        <w:t xml:space="preserve">vitro cell studies; (iii) studies for which the full text was not</w:t>
      </w:r>
      <w:r>
        <w:t xml:space="preserve"> </w:t>
      </w:r>
      <w:r>
        <w:t xml:space="preserve">available; (iv) studies with insufficient data.</w:t>
      </w:r>
    </w:p>
    <w:p>
      <w:pPr>
        <w:pStyle w:val="BodyText"/>
      </w:pPr>
      <w:r>
        <w:rPr>
          <w:b/>
        </w:rPr>
        <w:t xml:space="preserve">Data extraction</w:t>
      </w:r>
    </w:p>
    <w:p>
      <w:pPr>
        <w:pStyle w:val="BodyText"/>
      </w:pPr>
      <w:r>
        <w:t xml:space="preserve">Data extraction included: first author’s name, publication year, title</w:t>
      </w:r>
      <w:r>
        <w:t xml:space="preserve"> </w:t>
      </w:r>
      <w:r>
        <w:t xml:space="preserve">and the link of the study, case definition, the distribution numbers of</w:t>
      </w:r>
      <w:r>
        <w:t xml:space="preserve"> </w:t>
      </w:r>
      <w:r>
        <w:t xml:space="preserve">participants for each blood group (along with Rhesus state, when there</w:t>
      </w:r>
      <w:r>
        <w:t xml:space="preserve"> </w:t>
      </w:r>
      <w:r>
        <w:t xml:space="preserve">was a record) and for both, SARS-CoV-2 infected and uninfected subjects.</w:t>
      </w:r>
      <w:r>
        <w:t xml:space="preserve"> </w:t>
      </w:r>
      <w:r>
        <w:t xml:space="preserve">For each study, a numerical ID was used.  Infection was confirmed by</w:t>
      </w:r>
      <w:r>
        <w:t xml:space="preserve"> </w:t>
      </w:r>
      <w:r>
        <w:t xml:space="preserve">Polymerase Chain Reaction (PCR) and/or clinical diagnosis, although for</w:t>
      </w:r>
      <w:r>
        <w:t xml:space="preserve"> </w:t>
      </w:r>
      <w:r>
        <w:t xml:space="preserve">several studies the confirmation method for SARS-CoV-2 infection was not</w:t>
      </w:r>
      <w:r>
        <w:t xml:space="preserve"> </w:t>
      </w:r>
      <w:r>
        <w:t xml:space="preserve">specified.  Some studies included more than one group of controls, along</w:t>
      </w:r>
      <w:r>
        <w:t xml:space="preserve"> </w:t>
      </w:r>
      <w:r>
        <w:t xml:space="preserve">with the corresponding population of cases, while other studies reported</w:t>
      </w:r>
      <w:r>
        <w:t xml:space="preserve"> </w:t>
      </w:r>
      <w:r>
        <w:t xml:space="preserve">more than one group of controls and cases. We included in the analysis</w:t>
      </w:r>
      <w:r>
        <w:t xml:space="preserve"> </w:t>
      </w:r>
      <w:r>
        <w:t xml:space="preserve">all the comparisons regarding different subgroups of controls and cases,</w:t>
      </w:r>
      <w:r>
        <w:t xml:space="preserve"> </w:t>
      </w:r>
      <w:r>
        <w:t xml:space="preserve">in order to avoid any overlapping.</w:t>
      </w:r>
    </w:p>
    <w:p>
      <w:pPr>
        <w:pStyle w:val="Heading2"/>
      </w:pPr>
      <w:bookmarkStart w:id="24" w:name="statistical-analysis"/>
      <w:bookmarkEnd w:id="24"/>
      <w:r>
        <w:t xml:space="preserve">Statistical analysis</w:t>
      </w:r>
    </w:p>
    <w:p>
      <w:pPr>
        <w:pStyle w:val="FirstParagraph"/>
      </w:pPr>
      <w:r>
        <w:t xml:space="preserve">For each study, we extracted the cross-classified frequencies between</w:t>
      </w:r>
      <w:r>
        <w:t xml:space="preserve"> </w:t>
      </w:r>
      <w:r>
        <w:t xml:space="preserve">infection state and blood group. We used logistic regression for</w:t>
      </w:r>
      <w:r>
        <w:t xml:space="preserve"> </w:t>
      </w:r>
      <w:r>
        <w:t xml:space="preserve">deriving Odds Ratios (ORs) a</w:t>
      </w:r>
      <w:r>
        <w:t xml:space="preserve">nd their asymptotic standard errors, a</w:t>
      </w:r>
      <w:r>
        <w:t xml:space="preserve">fter</w:t>
      </w:r>
      <w:r>
        <w:t xml:space="preserve"> </w:t>
      </w:r>
      <w:r>
        <w:t xml:space="preserve">adjusting for multiplicity using the Benjamin-Hochberg</w:t>
      </w:r>
      <w:r>
        <w:t xml:space="preserve"> </w:t>
      </w:r>
      <w:r>
        <w:t xml:space="preserve">procedure (Benjamini and Hochberg 1995). We assessed heterogeneity using the</w:t>
      </w:r>
      <w:r>
        <w:t xml:space="preserve"> </w:t>
      </w:r>
      <w:r>
        <w:t xml:space="preserve">I-squared statistic. Publication bias was assessed by visual inspection</w:t>
      </w:r>
      <w:r>
        <w:t xml:space="preserve"> </w:t>
      </w:r>
      <w:r>
        <w:t xml:space="preserve">of the funnel plots and further validated by Egger’s</w:t>
      </w:r>
      <w:r>
        <w:t xml:space="preserve"> </w:t>
      </w:r>
      <w:r>
        <w:t xml:space="preserve">test (Egger et al. 1997). Pooled ORs estimates and 95% confidence</w:t>
      </w:r>
      <w:r>
        <w:t xml:space="preserve"> </w:t>
      </w:r>
      <w:r>
        <w:t xml:space="preserve">intervals (CIs) were obtained by performing meta-analysis using the</w:t>
      </w:r>
      <w:r>
        <w:t xml:space="preserve"> </w:t>
      </w:r>
      <w:r>
        <w:t xml:space="preserve">inverse variance method. Due to the amount of heterogeneity a</w:t>
      </w:r>
      <w:r>
        <w:t xml:space="preserve"> </w:t>
      </w:r>
      <w:r>
        <w:t xml:space="preserve">random-effects model has been used for the ABO gene, by applying the</w:t>
      </w:r>
      <w:r>
        <w:t xml:space="preserve"> </w:t>
      </w:r>
      <w:r>
        <w:t xml:space="preserve">Hartung-Knapp-Sidik-Jonkman method (IntHout et al. 2014)</w:t>
      </w:r>
      <w:r>
        <w:t xml:space="preserve"> </w:t>
      </w:r>
      <w:r>
        <w:t xml:space="preserve">for </w:t>
      </w:r>
      <m:oMath>
        <m:sSup>
          <m:e>
            <m:r>
              <m:t>τ</m:t>
            </m:r>
          </m:e>
          <m:sup>
            <m:r>
              <m:t>2</m:t>
            </m:r>
          </m:sup>
        </m:sSup>
      </m:oMath>
      <w:r>
        <w:t xml:space="preserve">.  The 95% prediction intervals (PIs) were also</w:t>
      </w:r>
      <w:r>
        <w:t xml:space="preserve"> </w:t>
      </w:r>
      <w:r>
        <w:t xml:space="preserve">computed. The PIs present the heterogeneity in the same metric as the</w:t>
      </w:r>
      <w:r>
        <w:t xml:space="preserve"> </w:t>
      </w:r>
      <w:r>
        <w:t xml:space="preserve">original effect size measure, illustrating which range of true effects</w:t>
      </w:r>
      <w:r>
        <w:t xml:space="preserve"> </w:t>
      </w:r>
      <w:r>
        <w:t xml:space="preserve">can be expected in future settings (IntHout et al. 2016). We explored the</w:t>
      </w:r>
      <w:r>
        <w:t xml:space="preserve"> </w:t>
      </w:r>
      <w:r>
        <w:t xml:space="preserve">robustness of our meta-analysis results using the leave-one-out method. </w:t>
      </w:r>
    </w:p>
    <w:p>
      <w:pPr>
        <w:pStyle w:val="Heading2"/>
      </w:pPr>
      <w:bookmarkStart w:id="25" w:name="software"/>
      <w:bookmarkEnd w:id="25"/>
      <w:r>
        <w:t xml:space="preserve">Software</w:t>
      </w:r>
    </w:p>
    <w:p>
      <w:pPr>
        <w:pStyle w:val="FirstParagraph"/>
      </w:pPr>
      <w:r>
        <w:t xml:space="preserve">All models were run in R v4.0   using the meta package (Schwarzer and others 2007)</w:t>
      </w:r>
    </w:p>
    <w:p>
      <w:pPr>
        <w:pStyle w:val="Heading1"/>
      </w:pPr>
      <w:bookmarkStart w:id="26" w:name="results"/>
      <w:bookmarkEnd w:id="26"/>
      <w:r>
        <w:t xml:space="preserve">Results</w:t>
      </w:r>
    </w:p>
    <w:p>
      <w:pPr>
        <w:pStyle w:val="FirstParagraph"/>
      </w:pPr>
      <w:r>
        <w:rPr>
          <w:b/>
        </w:rPr>
        <w:t xml:space="preserve">Literature search</w:t>
      </w:r>
    </w:p>
    <w:p>
      <w:pPr>
        <w:pStyle w:val="BodyText"/>
      </w:pPr>
      <w:r>
        <w:t xml:space="preserve">The literature search of the PubMed/MEDLINE and Scopus databases</w:t>
      </w:r>
      <w:r>
        <w:t xml:space="preserve"> </w:t>
      </w:r>
      <w:r>
        <w:t xml:space="preserve">resulted in 589 potentially relevant studies (PubMed records=389 and</w:t>
      </w:r>
      <w:r>
        <w:t xml:space="preserve"> </w:t>
      </w:r>
      <w:r>
        <w:t xml:space="preserve">Scopus records=200). The 351 of them were removed because they were</w:t>
      </w:r>
      <w:r>
        <w:t xml:space="preserve"> </w:t>
      </w:r>
      <w:r>
        <w:t xml:space="preserve">duplicates.  According to the inclusion criteria, we excluded the 216</w:t>
      </w:r>
      <w:r>
        <w:t xml:space="preserve"> </w:t>
      </w:r>
      <w:r>
        <w:t xml:space="preserve">irrelevant studies by screening abstract and title. Eventually, a total</w:t>
      </w:r>
      <w:r>
        <w:t xml:space="preserve"> </w:t>
      </w:r>
      <w:r>
        <w:t xml:space="preserve">of 22 articles (GÖKER et al. 2020; Hoiland et al. 2020; Ad’hiah et al. 2020; Solmaz and Araç 2021; Taha et al. 2020; Dzik et al. 2020; Zalba et al. 2020; Chegni et al. 2020; Franchini et al. 2021; Gamal et al. 2021; Wu et al. 2020; Khalil et al. 2020; El-Shitany et al. 2021; Valenti et al. 2020; Muñiz-Diaz et al. 2021; Kibler et al. 2020; Barnkob et al. 2020; Bhandari et al. 2020; Rahim et al. 2021; Abdollahi et al. 2020; Fan et al. 2020; Boudin et al. 2020) were included in this systematic</w:t>
      </w:r>
      <w:r>
        <w:t xml:space="preserve"> </w:t>
      </w:r>
      <w:r>
        <w:t xml:space="preserve">review and meta-analysis (Figure 1).</w:t>
      </w:r>
    </w:p>
    <w:p>
      <w:pPr>
        <w:pStyle w:val="FigureWithCaption"/>
      </w:pPr>
      <w:r>
        <w:drawing>
          <wp:inline>
            <wp:extent cx="1050000" cy="1141200"/>
            <wp:effectExtent b="0" l="0" r="0" t="0"/>
            <wp:docPr descr="The PRISMA flow-chart " title="" id="1" name="Picture"/>
            <a:graphic>
              <a:graphicData uri="http://schemas.openxmlformats.org/drawingml/2006/picture">
                <pic:pic>
                  <pic:nvPicPr>
                    <pic:cNvPr descr="figures/PRISMA-2020-flow-diagram-new-SRs-v2/PRISMA-2020-flow-diagram-new-SRs-v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" cy="114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The PRISMA flow-chart</w:t>
      </w:r>
      <w:r>
        <w:t xml:space="preserve"> </w:t>
      </w:r>
    </w:p>
    <w:p>
      <w:pPr>
        <w:pStyle w:val="BodyText"/>
      </w:pPr>
      <w:r>
        <w:rPr>
          <w:b/>
        </w:rPr>
        <w:t xml:space="preserve">Study characteristics</w:t>
      </w:r>
    </w:p>
    <w:p>
      <w:pPr>
        <w:pStyle w:val="BodyText"/>
      </w:pPr>
      <w:r>
        <w:t xml:space="preserve">Twenty-two studies were identified, meeting  our inclusion criteria for</w:t>
      </w:r>
      <w:r>
        <w:t xml:space="preserve"> </w:t>
      </w:r>
      <w:r>
        <w:t xml:space="preserve">meta-analysis, with the majority of them being case-control studies. All</w:t>
      </w:r>
      <w:r>
        <w:t xml:space="preserve"> </w:t>
      </w:r>
      <w:r>
        <w:t xml:space="preserve">studies were published in 2020, except for five studies that were</w:t>
      </w:r>
      <w:r>
        <w:t xml:space="preserve"> </w:t>
      </w:r>
      <w:r>
        <w:t xml:space="preserve">published in 2021. Half of the studies were carried out in Europe and</w:t>
      </w:r>
      <w:r>
        <w:t xml:space="preserve"> </w:t>
      </w:r>
      <w:r>
        <w:t xml:space="preserve">North America while the other half in Asia and Africa. A total of</w:t>
      </w:r>
      <w:r>
        <w:t xml:space="preserve"> </w:t>
      </w:r>
      <w:r>
        <w:t xml:space="preserve">84,659,546 subjects were included in this meta-analysis, with 21,462</w:t>
      </w:r>
      <w:r>
        <w:t xml:space="preserve"> </w:t>
      </w:r>
      <w:r>
        <w:t xml:space="preserve">COVID-19 infected subjects and 84,638,084 uninfected subjects. Among</w:t>
      </w:r>
      <w:r>
        <w:t xml:space="preserve"> </w:t>
      </w:r>
      <w:r>
        <w:t xml:space="preserve">them, 147,302 subjects were positive for Rhesus state and 20,313</w:t>
      </w:r>
      <w:r>
        <w:t xml:space="preserve"> </w:t>
      </w:r>
      <w:r>
        <w:t xml:space="preserve">negative. Most of the participants were adult males, forty to seventy</w:t>
      </w:r>
      <w:r>
        <w:t xml:space="preserve"> </w:t>
      </w:r>
      <w:r>
        <w:t xml:space="preserve">years old. In most of the studies, COVID-19 diagnosis was confirmed by a</w:t>
      </w:r>
      <w:r>
        <w:t xml:space="preserve"> </w:t>
      </w:r>
      <w:r>
        <w:t xml:space="preserve">PCR test, using nasal or pharyngeal swab specimens. The main</w:t>
      </w:r>
      <w:r>
        <w:t xml:space="preserve"> </w:t>
      </w:r>
      <w:r>
        <w:t xml:space="preserve">characteristics of the studies are listed in Table 1.</w:t>
      </w:r>
    </w:p>
    <w:p>
      <w:pPr>
        <w:pStyle w:val="TableCaption"/>
      </w:pPr>
      <w:r>
        <w:t xml:space="preserve">Characteristics of the included studies</w:t>
      </w:r>
      <w:r>
        <w:t xml:space="preserve"> </w:t>
      </w:r>
    </w:p>
    <w:tbl>
      <w:tblPr>
        <w:tblStyle w:val="TableNormal"/>
        <w:tblW w:type="pct" w:w="0.0"/>
        <w:tblLook/>
        <w:tblCaption w:val="Characteristics of the included studies "/>
      </w:tblPr>
      <w:tblGrid/>
      <w:tr>
        <w:tc>
          <w:p>
            <w:pPr>
              <w:pStyle w:val="Compact"/>
              <w:jc w:val="center"/>
            </w:pPr>
            <w:r>
              <w:t xml:space="preserve">Study Year</w:t>
            </w:r>
          </w:p>
        </w:tc>
        <w:tc>
          <w:p>
            <w:pPr>
              <w:pStyle w:val="Compact"/>
              <w:jc w:val="center"/>
            </w:pPr>
            <w:r>
              <w:t xml:space="preserve">Country</w:t>
            </w:r>
          </w:p>
        </w:tc>
        <w:tc>
          <w:p>
            <w:pPr>
              <w:pStyle w:val="Compact"/>
              <w:jc w:val="center"/>
            </w:pPr>
            <w:r>
              <w:t xml:space="preserve">Study Design</w:t>
            </w:r>
          </w:p>
        </w:tc>
        <w:tc>
          <w:p>
            <w:pPr>
              <w:pStyle w:val="Compact"/>
              <w:jc w:val="center"/>
            </w:pPr>
            <w:r>
              <w:t xml:space="preserve">Sample Size (case/control)</w:t>
            </w:r>
          </w:p>
        </w:tc>
        <w:tc>
          <w:p>
            <w:pPr>
              <w:pStyle w:val="Compact"/>
              <w:jc w:val="center"/>
            </w:pPr>
            <w:r>
              <w:t xml:space="preserve">Rhesus Status</w:t>
            </w:r>
            <w:r>
              <w:t xml:space="preserve"> </w:t>
            </w:r>
            <w:r>
              <w:t xml:space="preserve">(positive/negative)</w:t>
            </w:r>
          </w:p>
        </w:tc>
        <w:tc>
          <w:p>
            <w:pPr>
              <w:pStyle w:val="Compact"/>
              <w:jc w:val="center"/>
            </w:pPr>
            <w:r>
              <w:t xml:space="preserve">Age. years</w:t>
            </w:r>
          </w:p>
        </w:tc>
        <w:tc>
          <w:p>
            <w:pPr>
              <w:pStyle w:val="Compact"/>
              <w:jc w:val="center"/>
            </w:pPr>
            <w:r>
              <w:t xml:space="preserve">Male% (Case/Control)</w:t>
            </w:r>
          </w:p>
        </w:tc>
        <w:tc>
          <w:p>
            <w:pPr>
              <w:pStyle w:val="Compact"/>
              <w:jc w:val="center"/>
            </w:pPr>
            <w:r>
              <w:t xml:space="preserve">Patients</w:t>
            </w:r>
          </w:p>
        </w:tc>
        <w:tc>
          <w:p>
            <w:pPr>
              <w:pStyle w:val="Compact"/>
              <w:jc w:val="center"/>
            </w:pPr>
            <w:r>
              <w:t xml:space="preserve">Controls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Boudin et al, 2020</w:t>
            </w:r>
          </w:p>
        </w:tc>
        <w:tc>
          <w:p>
            <w:pPr>
              <w:pStyle w:val="Compact"/>
              <w:jc w:val="center"/>
            </w:pPr>
            <w:r>
              <w:t xml:space="preserve">France</w:t>
            </w:r>
          </w:p>
        </w:tc>
        <w:tc>
          <w:p>
            <w:pPr>
              <w:pStyle w:val="Compact"/>
              <w:jc w:val="center"/>
            </w:pPr>
            <w:r>
              <w:t xml:space="preserve">Retrospective Cohort</w:t>
            </w:r>
          </w:p>
        </w:tc>
        <w:tc>
          <w:p>
            <w:pPr>
              <w:pStyle w:val="Compact"/>
              <w:jc w:val="center"/>
            </w:pPr>
            <w:r>
              <w:t xml:space="preserve">1263/406</w:t>
            </w:r>
          </w:p>
        </w:tc>
        <w:tc>
          <w:p>
            <w:pPr>
              <w:pStyle w:val="Compact"/>
              <w:jc w:val="center"/>
            </w:pPr>
            <w:r>
              <w:t xml:space="preserve">1439/230</w:t>
            </w:r>
          </w:p>
        </w:tc>
        <w:tc>
          <w:p>
            <w:pPr>
              <w:pStyle w:val="Compact"/>
              <w:jc w:val="center"/>
            </w:pPr>
            <w:r>
              <w:t xml:space="preserve">Median Age (IQR):</w:t>
            </w:r>
            <w:r>
              <w:t xml:space="preserve"> </w:t>
            </w:r>
            <w:r>
              <w:t xml:space="preserve">28(23-36)/27(23-33)</w:t>
            </w:r>
          </w:p>
        </w:tc>
        <w:tc>
          <w:p>
            <w:pPr>
              <w:pStyle w:val="Compact"/>
              <w:jc w:val="center"/>
            </w:pPr>
            <w:r>
              <w:t xml:space="preserve">87/87</w:t>
            </w:r>
          </w:p>
        </w:tc>
        <w:tc>
          <w:p>
            <w:pPr>
              <w:pStyle w:val="Compact"/>
              <w:jc w:val="center"/>
            </w:pPr>
            <w:r>
              <w:t xml:space="preserve">Patients with COVID-19 confirmed by RT-PCR or clinical symptoms suggestive to covid-19</w:t>
            </w:r>
          </w:p>
        </w:tc>
        <w:tc>
          <w:p>
            <w:pPr>
              <w:pStyle w:val="Compact"/>
              <w:jc w:val="center"/>
            </w:pPr>
            <w:r>
              <w:t xml:space="preserve">Tested negative for COVID-19 or no clinical symptoms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Fan et al. 2020</w:t>
            </w:r>
          </w:p>
        </w:tc>
        <w:tc>
          <w:p>
            <w:pPr>
              <w:pStyle w:val="Compact"/>
              <w:jc w:val="center"/>
            </w:pPr>
            <w:r>
              <w:t xml:space="preserve">China</w:t>
            </w:r>
          </w:p>
        </w:tc>
        <w:tc>
          <w:p>
            <w:pPr>
              <w:pStyle w:val="Compact"/>
              <w:jc w:val="center"/>
            </w:pPr>
            <w:r>
              <w:t xml:space="preserve">Retrospective Case-Control</w:t>
            </w:r>
          </w:p>
        </w:tc>
        <w:tc>
          <w:p>
            <w:pPr>
              <w:pStyle w:val="Compact"/>
              <w:jc w:val="center"/>
            </w:pPr>
            <w:r>
              <w:t xml:space="preserve">105/103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Mean Age±SD:</w:t>
            </w:r>
            <w:r>
              <w:t xml:space="preserve"> </w:t>
            </w:r>
            <w:r>
              <w:t xml:space="preserve">(56.8±18.3)/(54.0±15.0)</w:t>
            </w:r>
          </w:p>
        </w:tc>
        <w:tc>
          <w:p>
            <w:pPr>
              <w:pStyle w:val="Compact"/>
              <w:jc w:val="center"/>
            </w:pPr>
            <w:r>
              <w:t xml:space="preserve">52.4/54.4</w:t>
            </w:r>
          </w:p>
        </w:tc>
        <w:tc>
          <w:p>
            <w:pPr>
              <w:pStyle w:val="Compact"/>
              <w:jc w:val="center"/>
            </w:pPr>
            <w:r>
              <w:t xml:space="preserve">Patients with COVID-19 confirmed by RT-PCR or clinically diagnostic cases</w:t>
            </w:r>
          </w:p>
        </w:tc>
        <w:tc>
          <w:p>
            <w:pPr>
              <w:pStyle w:val="Compact"/>
              <w:jc w:val="center"/>
            </w:pPr>
            <w:r>
              <w:t xml:space="preserve">Tested negative for COVID-19 or no clinical symptoms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Abdollahi et al. 2020</w:t>
            </w:r>
          </w:p>
        </w:tc>
        <w:tc>
          <w:p>
            <w:pPr>
              <w:pStyle w:val="Compact"/>
              <w:jc w:val="center"/>
            </w:pPr>
            <w:r>
              <w:t xml:space="preserve">Iran</w:t>
            </w:r>
          </w:p>
        </w:tc>
        <w:tc>
          <w:p>
            <w:pPr>
              <w:pStyle w:val="Compact"/>
              <w:jc w:val="center"/>
            </w:pPr>
            <w:r>
              <w:t xml:space="preserve">Cross-Sectional</w:t>
            </w:r>
          </w:p>
        </w:tc>
        <w:tc>
          <w:p>
            <w:pPr>
              <w:pStyle w:val="Compact"/>
              <w:jc w:val="center"/>
            </w:pPr>
            <w:r>
              <w:t xml:space="preserve">397/500</w:t>
            </w:r>
          </w:p>
        </w:tc>
        <w:tc>
          <w:p>
            <w:pPr>
              <w:pStyle w:val="Compact"/>
              <w:jc w:val="center"/>
            </w:pPr>
            <w:r>
              <w:t xml:space="preserve">802/95</w:t>
            </w:r>
          </w:p>
        </w:tc>
        <w:tc>
          <w:p>
            <w:pPr>
              <w:pStyle w:val="Compact"/>
              <w:jc w:val="center"/>
            </w:pPr>
            <w:r>
              <w:t xml:space="preserve">Mean Age (SD):</w:t>
            </w:r>
            <w:r>
              <w:t xml:space="preserve"> </w:t>
            </w:r>
            <w:r>
              <w:t xml:space="preserve">58.81 (15.4)/48.53 (17.9)</w:t>
            </w:r>
          </w:p>
        </w:tc>
        <w:tc>
          <w:p>
            <w:pPr>
              <w:pStyle w:val="Compact"/>
              <w:jc w:val="center"/>
            </w:pPr>
            <w:r>
              <w:t xml:space="preserve">63.5/46.2</w:t>
            </w:r>
          </w:p>
        </w:tc>
        <w:tc>
          <w:p>
            <w:pPr>
              <w:pStyle w:val="Compact"/>
              <w:jc w:val="center"/>
            </w:pPr>
            <w:r>
              <w:t xml:space="preserve">Patients with COVID-19 confirmed by RT-PCR</w:t>
            </w:r>
          </w:p>
        </w:tc>
        <w:tc>
          <w:p>
            <w:pPr>
              <w:pStyle w:val="Compact"/>
              <w:jc w:val="center"/>
            </w:pPr>
            <w:r>
              <w:t xml:space="preserve">Healthy population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Rahim et al. 2021</w:t>
            </w:r>
          </w:p>
        </w:tc>
        <w:tc>
          <w:p>
            <w:pPr>
              <w:pStyle w:val="Compact"/>
              <w:jc w:val="center"/>
            </w:pPr>
            <w:r>
              <w:t xml:space="preserve">Pakistan</w:t>
            </w:r>
          </w:p>
        </w:tc>
        <w:tc>
          <w:p>
            <w:pPr>
              <w:pStyle w:val="Compact"/>
              <w:jc w:val="center"/>
            </w:pPr>
            <w:r>
              <w:t xml:space="preserve">Cross-Sectional</w:t>
            </w:r>
          </w:p>
        </w:tc>
        <w:tc>
          <w:p>
            <w:pPr>
              <w:pStyle w:val="Compact"/>
              <w:jc w:val="center"/>
            </w:pPr>
            <w:r>
              <w:t xml:space="preserve">1935/1935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Mean Age ±SD:</w:t>
            </w:r>
            <w:r>
              <w:t xml:space="preserve"> </w:t>
            </w:r>
            <w:r>
              <w:t xml:space="preserve">(39.73±15.26)/(32.36±8.65)</w:t>
            </w:r>
          </w:p>
        </w:tc>
        <w:tc>
          <w:p>
            <w:pPr>
              <w:pStyle w:val="Compact"/>
              <w:jc w:val="center"/>
            </w:pPr>
            <w:r>
              <w:t xml:space="preserve">68.6/67.7</w:t>
            </w:r>
          </w:p>
        </w:tc>
        <w:tc>
          <w:p>
            <w:pPr>
              <w:pStyle w:val="Compact"/>
              <w:jc w:val="center"/>
            </w:pPr>
            <w:r>
              <w:t xml:space="preserve">Patients with COVID-19 confirmed by RT-PCR</w:t>
            </w:r>
          </w:p>
        </w:tc>
        <w:tc>
          <w:p>
            <w:pPr>
              <w:pStyle w:val="Compact"/>
              <w:jc w:val="center"/>
            </w:pPr>
            <w:r>
              <w:t xml:space="preserve">Healthy blood donors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Bhandari et al. 2020</w:t>
            </w:r>
          </w:p>
        </w:tc>
        <w:tc>
          <w:p>
            <w:pPr>
              <w:pStyle w:val="Compact"/>
              <w:jc w:val="center"/>
            </w:pPr>
            <w:r>
              <w:t xml:space="preserve">USA</w:t>
            </w:r>
          </w:p>
        </w:tc>
        <w:tc>
          <w:p>
            <w:pPr>
              <w:pStyle w:val="Compact"/>
              <w:jc w:val="center"/>
            </w:pPr>
            <w:r>
              <w:t xml:space="preserve">Retrospective Case-Control</w:t>
            </w:r>
          </w:p>
        </w:tc>
        <w:tc>
          <w:p>
            <w:pPr>
              <w:pStyle w:val="Compact"/>
              <w:jc w:val="center"/>
            </w:pPr>
            <w:r>
              <w:t xml:space="preserve">825/396</w:t>
            </w:r>
          </w:p>
        </w:tc>
        <w:tc>
          <w:p>
            <w:pPr>
              <w:pStyle w:val="Compact"/>
              <w:jc w:val="center"/>
            </w:pPr>
            <w:r>
              <w:t xml:space="preserve">1160/61</w:t>
            </w:r>
          </w:p>
        </w:tc>
        <w:tc>
          <w:p>
            <w:pPr>
              <w:pStyle w:val="Compact"/>
              <w:jc w:val="center"/>
            </w:pPr>
            <w:r>
              <w:t xml:space="preserve">Mean Age ±SD:</w:t>
            </w:r>
            <w:r>
              <w:t xml:space="preserve"> </w:t>
            </w:r>
            <w:r>
              <w:t xml:space="preserve">(57.64±18.17)/(54.21±20.99)</w:t>
            </w:r>
          </w:p>
        </w:tc>
        <w:tc>
          <w:p>
            <w:pPr>
              <w:pStyle w:val="Compact"/>
              <w:jc w:val="center"/>
            </w:pPr>
            <w:r>
              <w:t xml:space="preserve">61/44</w:t>
            </w:r>
          </w:p>
        </w:tc>
        <w:tc>
          <w:p>
            <w:pPr>
              <w:pStyle w:val="Compact"/>
              <w:jc w:val="center"/>
            </w:pPr>
            <w:r>
              <w:t xml:space="preserve">Patients with COVID-19 confirmed by RT-PCR</w:t>
            </w:r>
          </w:p>
        </w:tc>
        <w:tc>
          <w:p>
            <w:pPr>
              <w:pStyle w:val="Compact"/>
              <w:jc w:val="center"/>
            </w:pPr>
            <w:r>
              <w:t xml:space="preserve">Patients who were hospitalized without COVID-19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Barnkob et al. 2020</w:t>
            </w:r>
          </w:p>
        </w:tc>
        <w:tc>
          <w:p>
            <w:pPr>
              <w:pStyle w:val="Compact"/>
              <w:jc w:val="center"/>
            </w:pPr>
            <w:r>
              <w:t xml:space="preserve">Denmark</w:t>
            </w:r>
          </w:p>
        </w:tc>
        <w:tc>
          <w:p>
            <w:pPr>
              <w:pStyle w:val="Compact"/>
              <w:jc w:val="center"/>
            </w:pPr>
            <w:r>
              <w:t xml:space="preserve">Retrospective Cohort</w:t>
            </w:r>
          </w:p>
        </w:tc>
        <w:tc>
          <w:p>
            <w:pPr>
              <w:pStyle w:val="Compact"/>
              <w:jc w:val="center"/>
            </w:pPr>
            <w:r>
              <w:t xml:space="preserve">7422/466232</w:t>
            </w:r>
            <w:r>
              <w:t xml:space="preserve"> </w:t>
            </w:r>
            <w:r>
              <w:t xml:space="preserve">7422/2204742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Median Age (IQR):</w:t>
            </w:r>
            <w:r>
              <w:t xml:space="preserve"> </w:t>
            </w:r>
            <w:r>
              <w:t xml:space="preserve">52 (40-67)/50 (36-64)</w:t>
            </w:r>
          </w:p>
        </w:tc>
        <w:tc>
          <w:p>
            <w:pPr>
              <w:pStyle w:val="Compact"/>
              <w:jc w:val="center"/>
            </w:pPr>
            <w:r>
              <w:t xml:space="preserve">32.9/32</w:t>
            </w:r>
          </w:p>
        </w:tc>
        <w:tc>
          <w:p>
            <w:pPr>
              <w:pStyle w:val="Compact"/>
              <w:jc w:val="center"/>
            </w:pPr>
            <w:r>
              <w:t xml:space="preserve">Patients with COVID-19 confirmed by RT-PCR</w:t>
            </w:r>
          </w:p>
        </w:tc>
        <w:tc>
          <w:p>
            <w:pPr>
              <w:pStyle w:val="Compact"/>
              <w:jc w:val="center"/>
            </w:pPr>
            <w:r>
              <w:t xml:space="preserve">Tested negative for COVID-19/ Healthy population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Kibler et al. 2020</w:t>
            </w:r>
          </w:p>
        </w:tc>
        <w:tc>
          <w:p>
            <w:pPr>
              <w:pStyle w:val="Compact"/>
              <w:jc w:val="center"/>
            </w:pPr>
            <w:r>
              <w:t xml:space="preserve">France</w:t>
            </w:r>
          </w:p>
        </w:tc>
        <w:tc>
          <w:p>
            <w:pPr>
              <w:pStyle w:val="Compact"/>
              <w:jc w:val="center"/>
            </w:pPr>
            <w:r>
              <w:t xml:space="preserve">Retrospective Cohort</w:t>
            </w:r>
          </w:p>
        </w:tc>
        <w:tc>
          <w:p>
            <w:pPr>
              <w:pStyle w:val="Compact"/>
              <w:jc w:val="center"/>
            </w:pPr>
            <w:r>
              <w:t xml:space="preserve">22/680</w:t>
            </w:r>
          </w:p>
        </w:tc>
        <w:tc>
          <w:p>
            <w:pPr>
              <w:pStyle w:val="Compact"/>
              <w:jc w:val="center"/>
            </w:pPr>
            <w:r>
              <w:t xml:space="preserve">352/350</w:t>
            </w:r>
          </w:p>
        </w:tc>
        <w:tc>
          <w:p>
            <w:pPr>
              <w:pStyle w:val="Compact"/>
              <w:jc w:val="center"/>
            </w:pPr>
            <w:r>
              <w:t xml:space="preserve">Mean Age ±SD:</w:t>
            </w:r>
            <w:r>
              <w:t xml:space="preserve"> </w:t>
            </w:r>
            <w:r>
              <w:t xml:space="preserve">(82±8.4)/(82±6.9)</w:t>
            </w:r>
          </w:p>
        </w:tc>
        <w:tc>
          <w:p>
            <w:pPr>
              <w:pStyle w:val="Compact"/>
              <w:jc w:val="center"/>
            </w:pPr>
            <w:r>
              <w:t xml:space="preserve">31.8/45</w:t>
            </w:r>
          </w:p>
        </w:tc>
        <w:tc>
          <w:p>
            <w:pPr>
              <w:pStyle w:val="Compact"/>
              <w:jc w:val="center"/>
            </w:pPr>
            <w:r>
              <w:t xml:space="preserve">Patients with COVID-19 confirmed by RT-PCR/ patients with typical symptoms and characteristic imaging findings on chest computed tomography (CT)</w:t>
            </w:r>
          </w:p>
        </w:tc>
        <w:tc>
          <w:p>
            <w:pPr>
              <w:pStyle w:val="Compact"/>
              <w:jc w:val="center"/>
            </w:pPr>
            <w:r>
              <w:t xml:space="preserve">Patients who were hospitalized without COVID-19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Muniz-Diaz et al. 2021</w:t>
            </w:r>
          </w:p>
        </w:tc>
        <w:tc>
          <w:p>
            <w:pPr>
              <w:pStyle w:val="Compact"/>
              <w:jc w:val="center"/>
            </w:pPr>
            <w:r>
              <w:t xml:space="preserve">Spain</w:t>
            </w:r>
          </w:p>
        </w:tc>
        <w:tc>
          <w:p>
            <w:pPr>
              <w:pStyle w:val="Compact"/>
              <w:jc w:val="center"/>
            </w:pPr>
            <w:r>
              <w:t xml:space="preserve">Retrospective Cohort</w:t>
            </w:r>
          </w:p>
        </w:tc>
        <w:tc>
          <w:p>
            <w:pPr>
              <w:pStyle w:val="Compact"/>
              <w:jc w:val="center"/>
            </w:pPr>
            <w:r>
              <w:t xml:space="preserve">854/75870</w:t>
            </w:r>
            <w:r>
              <w:t xml:space="preserve"> </w:t>
            </w:r>
            <w:r>
              <w:t xml:space="preserve">965/52584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Median Age (IQR):</w:t>
            </w:r>
            <w:r>
              <w:t xml:space="preserve"> </w:t>
            </w:r>
            <w:r>
              <w:t xml:space="preserve">45.0 (36.0-53.0)/45.0 (32.0-53.0)</w:t>
            </w:r>
          </w:p>
        </w:tc>
        <w:tc>
          <w:p>
            <w:pPr>
              <w:pStyle w:val="Compact"/>
              <w:jc w:val="center"/>
            </w:pPr>
            <w:r>
              <w:t xml:space="preserve">39.5/51.5</w:t>
            </w:r>
            <w:r>
              <w:t xml:space="preserve"> </w:t>
            </w:r>
            <w:r>
              <w:t xml:space="preserve">59.07/49.85</w:t>
            </w:r>
          </w:p>
        </w:tc>
        <w:tc>
          <w:p>
            <w:pPr>
              <w:pStyle w:val="Compact"/>
              <w:jc w:val="center"/>
            </w:pPr>
            <w:r>
              <w:t xml:space="preserve">COVID-19 blood donors confirmed by RT-PCR /transfused patients with COVID-19</w:t>
            </w:r>
          </w:p>
        </w:tc>
        <w:tc>
          <w:p>
            <w:pPr>
              <w:pStyle w:val="Compact"/>
              <w:jc w:val="center"/>
            </w:pPr>
            <w:r>
              <w:t xml:space="preserve">Healthy blood donors/Patients transfused without COVID-19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Valenti et al. 2020</w:t>
            </w:r>
          </w:p>
        </w:tc>
        <w:tc>
          <w:p>
            <w:pPr>
              <w:pStyle w:val="Compact"/>
              <w:jc w:val="center"/>
            </w:pPr>
            <w:r>
              <w:t xml:space="preserve">Italy</w:t>
            </w:r>
          </w:p>
        </w:tc>
        <w:tc>
          <w:p>
            <w:pPr>
              <w:pStyle w:val="Compact"/>
              <w:jc w:val="center"/>
            </w:pPr>
            <w:r>
              <w:t xml:space="preserve">Case-Control</w:t>
            </w:r>
          </w:p>
        </w:tc>
        <w:tc>
          <w:p>
            <w:pPr>
              <w:pStyle w:val="Compact"/>
              <w:jc w:val="center"/>
            </w:pPr>
            <w:r>
              <w:t xml:space="preserve">505/890</w:t>
            </w:r>
            <w:r>
              <w:t xml:space="preserve"> </w:t>
            </w:r>
            <w:r>
              <w:t xml:space="preserve">505/18097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Median Age (IQR):</w:t>
            </w:r>
            <w:r>
              <w:t xml:space="preserve"> </w:t>
            </w:r>
            <w:r>
              <w:t xml:space="preserve">69.0 (59.0-77.0)/72.1 (58.2-82.5)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COVID-19 patients. confirmation method was not specified</w:t>
            </w:r>
          </w:p>
        </w:tc>
        <w:tc>
          <w:p>
            <w:pPr>
              <w:pStyle w:val="Compact"/>
              <w:jc w:val="center"/>
            </w:pPr>
            <w:r>
              <w:t xml:space="preserve">Healthy blood donors/transfused patients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El-Shitany et al. 2021</w:t>
            </w:r>
          </w:p>
        </w:tc>
        <w:tc>
          <w:p>
            <w:pPr>
              <w:pStyle w:val="Compact"/>
              <w:jc w:val="center"/>
            </w:pPr>
            <w:r>
              <w:t xml:space="preserve">Saudi Arabia and Egypt</w:t>
            </w:r>
          </w:p>
        </w:tc>
        <w:tc>
          <w:p>
            <w:pPr>
              <w:pStyle w:val="Compact"/>
              <w:jc w:val="center"/>
            </w:pPr>
            <w:r>
              <w:t xml:space="preserve">Retrospective Cross-Sectional</w:t>
            </w:r>
          </w:p>
        </w:tc>
        <w:tc>
          <w:p>
            <w:pPr>
              <w:pStyle w:val="Compact"/>
              <w:jc w:val="center"/>
            </w:pPr>
            <w:r>
              <w:t xml:space="preserve">726/707</w:t>
            </w:r>
          </w:p>
        </w:tc>
        <w:tc>
          <w:p>
            <w:pPr>
              <w:pStyle w:val="Compact"/>
              <w:jc w:val="center"/>
            </w:pPr>
            <w:r>
              <w:t xml:space="preserve">1185/248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15.2/16.5</w:t>
            </w:r>
          </w:p>
        </w:tc>
        <w:tc>
          <w:p>
            <w:pPr>
              <w:pStyle w:val="Compact"/>
              <w:jc w:val="center"/>
            </w:pPr>
            <w:r>
              <w:t xml:space="preserve">COVID-19 recovered patients. confirmed by RT-PCR or biochemical and clinical symptoms</w:t>
            </w:r>
          </w:p>
        </w:tc>
        <w:tc>
          <w:p>
            <w:pPr>
              <w:pStyle w:val="Compact"/>
              <w:jc w:val="center"/>
            </w:pPr>
            <w:r>
              <w:t xml:space="preserve">Healthy population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Khalil et al. 2020</w:t>
            </w:r>
          </w:p>
        </w:tc>
        <w:tc>
          <w:p>
            <w:pPr>
              <w:pStyle w:val="Compact"/>
              <w:jc w:val="center"/>
            </w:pPr>
            <w:r>
              <w:t xml:space="preserve">Lebanon</w:t>
            </w:r>
          </w:p>
        </w:tc>
        <w:tc>
          <w:p>
            <w:pPr>
              <w:pStyle w:val="Compact"/>
              <w:jc w:val="center"/>
            </w:pPr>
            <w:r>
              <w:t xml:space="preserve">Retrospective Case-Control</w:t>
            </w:r>
          </w:p>
        </w:tc>
        <w:tc>
          <w:p>
            <w:pPr>
              <w:pStyle w:val="Compact"/>
              <w:jc w:val="center"/>
            </w:pPr>
            <w:r>
              <w:t xml:space="preserve">146/6479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Mean Age ±SD. (IQR):</w:t>
            </w:r>
            <w:r>
              <w:t xml:space="preserve"> </w:t>
            </w:r>
            <w:r>
              <w:t xml:space="preserve">(41.9±18.52). (28-57) CO</w:t>
            </w:r>
          </w:p>
        </w:tc>
        <w:tc>
          <w:p>
            <w:pPr>
              <w:pStyle w:val="Compact"/>
              <w:jc w:val="center"/>
            </w:pPr>
            <w:r>
              <w:t xml:space="preserve">66.4 CO</w:t>
            </w:r>
          </w:p>
        </w:tc>
        <w:tc>
          <w:p>
            <w:pPr>
              <w:pStyle w:val="Compact"/>
              <w:jc w:val="center"/>
            </w:pPr>
            <w:r>
              <w:t xml:space="preserve">Patients with COVID-19 confirmed by RT-PCR</w:t>
            </w:r>
          </w:p>
        </w:tc>
        <w:tc>
          <w:p>
            <w:pPr>
              <w:pStyle w:val="Compact"/>
              <w:jc w:val="center"/>
            </w:pPr>
            <w:r>
              <w:t xml:space="preserve">Patients who were hospitalized without COVID-19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Wu et al. 2020</w:t>
            </w:r>
          </w:p>
        </w:tc>
        <w:tc>
          <w:p>
            <w:pPr>
              <w:pStyle w:val="Compact"/>
              <w:jc w:val="center"/>
            </w:pPr>
            <w:r>
              <w:t xml:space="preserve">China</w:t>
            </w:r>
          </w:p>
        </w:tc>
        <w:tc>
          <w:p>
            <w:pPr>
              <w:pStyle w:val="Compact"/>
              <w:jc w:val="center"/>
            </w:pPr>
            <w:r>
              <w:t xml:space="preserve">Retrospective Case-Control</w:t>
            </w:r>
          </w:p>
        </w:tc>
        <w:tc>
          <w:p>
            <w:pPr>
              <w:pStyle w:val="Compact"/>
              <w:jc w:val="center"/>
            </w:pPr>
            <w:r>
              <w:t xml:space="preserve">187/1991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≥40: 63.1% CO</w:t>
            </w:r>
          </w:p>
        </w:tc>
        <w:tc>
          <w:p>
            <w:pPr>
              <w:pStyle w:val="Compact"/>
              <w:jc w:val="center"/>
            </w:pPr>
            <w:r>
              <w:t xml:space="preserve">51.9 CO</w:t>
            </w:r>
          </w:p>
        </w:tc>
        <w:tc>
          <w:p>
            <w:pPr>
              <w:pStyle w:val="Compact"/>
              <w:jc w:val="center"/>
            </w:pPr>
            <w:r>
              <w:t xml:space="preserve">Clinically diagnosed COVID-19 patients</w:t>
            </w:r>
          </w:p>
        </w:tc>
        <w:tc>
          <w:p>
            <w:pPr>
              <w:pStyle w:val="Compact"/>
              <w:jc w:val="center"/>
            </w:pPr>
            <w:r>
              <w:t xml:space="preserve">Patients who were hospitalized without COVID-19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Gamal et al. 2020</w:t>
            </w:r>
          </w:p>
        </w:tc>
        <w:tc>
          <w:p>
            <w:pPr>
              <w:pStyle w:val="Compact"/>
              <w:jc w:val="center"/>
            </w:pPr>
            <w:r>
              <w:t xml:space="preserve">Italy</w:t>
            </w:r>
          </w:p>
        </w:tc>
        <w:tc>
          <w:p>
            <w:pPr>
              <w:pStyle w:val="Compact"/>
              <w:jc w:val="center"/>
            </w:pPr>
            <w:r>
              <w:t xml:space="preserve">Retrospective Case-Control</w:t>
            </w:r>
          </w:p>
        </w:tc>
        <w:tc>
          <w:p>
            <w:pPr>
              <w:pStyle w:val="Compact"/>
              <w:jc w:val="center"/>
            </w:pPr>
            <w:r>
              <w:t xml:space="preserve">1600/27715</w:t>
            </w:r>
          </w:p>
        </w:tc>
        <w:tc>
          <w:p>
            <w:pPr>
              <w:pStyle w:val="Compact"/>
              <w:jc w:val="center"/>
            </w:pPr>
            <w:r>
              <w:t xml:space="preserve">25206/4104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Patients with COVID-19 confirmed by RT-PCR</w:t>
            </w:r>
          </w:p>
        </w:tc>
        <w:tc>
          <w:p>
            <w:pPr>
              <w:pStyle w:val="Compact"/>
              <w:jc w:val="center"/>
            </w:pPr>
            <w:r>
              <w:t xml:space="preserve">Healthy blood donors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Franchini et al. 2021</w:t>
            </w:r>
          </w:p>
        </w:tc>
        <w:tc>
          <w:p>
            <w:pPr>
              <w:pStyle w:val="Compact"/>
              <w:jc w:val="center"/>
            </w:pPr>
            <w:r>
              <w:t xml:space="preserve">Italy</w:t>
            </w:r>
          </w:p>
        </w:tc>
        <w:tc>
          <w:p>
            <w:pPr>
              <w:pStyle w:val="Compact"/>
              <w:jc w:val="center"/>
            </w:pPr>
            <w:r>
              <w:t xml:space="preserve">Case-Control</w:t>
            </w:r>
          </w:p>
        </w:tc>
        <w:tc>
          <w:p>
            <w:pPr>
              <w:pStyle w:val="Compact"/>
              <w:jc w:val="center"/>
            </w:pPr>
            <w:r>
              <w:t xml:space="preserve">447/16911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Mean Age ±SD:</w:t>
            </w:r>
            <w:r>
              <w:t xml:space="preserve"> </w:t>
            </w:r>
            <w:r>
              <w:t xml:space="preserve">(477±121)/(471±143)</w:t>
            </w:r>
          </w:p>
        </w:tc>
        <w:tc>
          <w:p>
            <w:pPr>
              <w:pStyle w:val="Compact"/>
              <w:jc w:val="center"/>
            </w:pPr>
            <w:r>
              <w:t xml:space="preserve">86.1/61.0</w:t>
            </w:r>
          </w:p>
        </w:tc>
        <w:tc>
          <w:p>
            <w:pPr>
              <w:pStyle w:val="Compact"/>
              <w:jc w:val="center"/>
            </w:pPr>
            <w:r>
              <w:t xml:space="preserve">Blood donors clinically recovered from COVID-19</w:t>
            </w:r>
          </w:p>
        </w:tc>
        <w:tc>
          <w:p>
            <w:pPr>
              <w:pStyle w:val="Compact"/>
              <w:jc w:val="center"/>
            </w:pPr>
            <w:r>
              <w:t xml:space="preserve">Healthy blood donors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Chegni et al. 2020</w:t>
            </w:r>
          </w:p>
        </w:tc>
        <w:tc>
          <w:p>
            <w:pPr>
              <w:pStyle w:val="Compact"/>
              <w:jc w:val="center"/>
            </w:pPr>
            <w:r>
              <w:t xml:space="preserve">Iran</w:t>
            </w:r>
          </w:p>
        </w:tc>
        <w:tc>
          <w:p>
            <w:pPr>
              <w:pStyle w:val="Compact"/>
              <w:jc w:val="center"/>
            </w:pPr>
            <w:r>
              <w:t xml:space="preserve">Case-Control</w:t>
            </w:r>
          </w:p>
        </w:tc>
        <w:tc>
          <w:p>
            <w:pPr>
              <w:pStyle w:val="Compact"/>
              <w:jc w:val="center"/>
            </w:pPr>
            <w:r>
              <w:t xml:space="preserve">76/80982137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&gt;59: 53.2% CO</w:t>
            </w:r>
          </w:p>
        </w:tc>
        <w:tc>
          <w:p>
            <w:pPr>
              <w:pStyle w:val="Compact"/>
              <w:jc w:val="center"/>
            </w:pPr>
            <w:r>
              <w:t xml:space="preserve">77.7 CO</w:t>
            </w:r>
          </w:p>
        </w:tc>
        <w:tc>
          <w:p>
            <w:pPr>
              <w:pStyle w:val="Compact"/>
              <w:jc w:val="center"/>
            </w:pPr>
            <w:r>
              <w:t xml:space="preserve">COVID-19 patients. confirmation method was not specified</w:t>
            </w:r>
          </w:p>
        </w:tc>
        <w:tc>
          <w:p>
            <w:pPr>
              <w:pStyle w:val="Compact"/>
              <w:jc w:val="center"/>
            </w:pPr>
            <w:r>
              <w:t xml:space="preserve">Healthy population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Zalba-Marcos et al. 2020</w:t>
            </w:r>
          </w:p>
        </w:tc>
        <w:tc>
          <w:p>
            <w:pPr>
              <w:pStyle w:val="Compact"/>
              <w:jc w:val="center"/>
            </w:pPr>
            <w:r>
              <w:t xml:space="preserve">Spain</w:t>
            </w:r>
          </w:p>
        </w:tc>
        <w:tc>
          <w:p>
            <w:pPr>
              <w:pStyle w:val="Compact"/>
              <w:jc w:val="center"/>
            </w:pPr>
            <w:r>
              <w:t xml:space="preserve">Retrospective Cohort</w:t>
            </w:r>
          </w:p>
        </w:tc>
        <w:tc>
          <w:p>
            <w:pPr>
              <w:pStyle w:val="Compact"/>
              <w:jc w:val="center"/>
            </w:pPr>
            <w:r>
              <w:t xml:space="preserve">225/182384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Mean Age (SD) of 44%</w:t>
            </w:r>
            <w:r>
              <w:t xml:space="preserve"> </w:t>
            </w:r>
            <w:r>
              <w:t xml:space="preserve">70.1(15.1) CO</w:t>
            </w:r>
          </w:p>
        </w:tc>
        <w:tc>
          <w:p>
            <w:pPr>
              <w:pStyle w:val="Compact"/>
              <w:jc w:val="center"/>
            </w:pPr>
            <w:r>
              <w:t xml:space="preserve">64 CO</w:t>
            </w:r>
          </w:p>
        </w:tc>
        <w:tc>
          <w:p>
            <w:pPr>
              <w:pStyle w:val="Compact"/>
              <w:jc w:val="center"/>
            </w:pPr>
            <w:r>
              <w:t xml:space="preserve">Patients with COVID-19 confirmed by RT-PCR</w:t>
            </w:r>
          </w:p>
        </w:tc>
        <w:tc>
          <w:p>
            <w:pPr>
              <w:pStyle w:val="Compact"/>
              <w:jc w:val="center"/>
            </w:pPr>
            <w:r>
              <w:t xml:space="preserve">Healthy population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Dzik et al. 2020</w:t>
            </w:r>
          </w:p>
        </w:tc>
        <w:tc>
          <w:p>
            <w:pPr>
              <w:pStyle w:val="Compact"/>
              <w:jc w:val="center"/>
            </w:pPr>
            <w:r>
              <w:t xml:space="preserve">USA</w:t>
            </w:r>
          </w:p>
        </w:tc>
        <w:tc>
          <w:p>
            <w:pPr>
              <w:pStyle w:val="Compact"/>
              <w:jc w:val="center"/>
            </w:pPr>
            <w:r>
              <w:t xml:space="preserve">Case-Control</w:t>
            </w:r>
          </w:p>
        </w:tc>
        <w:tc>
          <w:p>
            <w:pPr>
              <w:pStyle w:val="Compact"/>
              <w:jc w:val="center"/>
            </w:pPr>
            <w:r>
              <w:t xml:space="preserve">957/5840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Patients with COVID-19 confirmed by RT-PCR</w:t>
            </w:r>
          </w:p>
        </w:tc>
        <w:tc>
          <w:p>
            <w:pPr>
              <w:pStyle w:val="Compact"/>
              <w:jc w:val="center"/>
            </w:pPr>
            <w:r>
              <w:t xml:space="preserve">Patients who were hospitalized without COVID-19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Taha et al. 2020</w:t>
            </w:r>
          </w:p>
        </w:tc>
        <w:tc>
          <w:p>
            <w:pPr>
              <w:pStyle w:val="Compact"/>
              <w:jc w:val="center"/>
            </w:pPr>
            <w:r>
              <w:t xml:space="preserve">Sudan</w:t>
            </w:r>
          </w:p>
        </w:tc>
        <w:tc>
          <w:p>
            <w:pPr>
              <w:pStyle w:val="Compact"/>
              <w:jc w:val="center"/>
            </w:pPr>
            <w:r>
              <w:t xml:space="preserve">Case-Control</w:t>
            </w:r>
          </w:p>
        </w:tc>
        <w:tc>
          <w:p>
            <w:pPr>
              <w:pStyle w:val="Compact"/>
              <w:jc w:val="center"/>
            </w:pPr>
            <w:r>
              <w:t xml:space="preserve">557/1000</w:t>
            </w:r>
          </w:p>
        </w:tc>
        <w:tc>
          <w:p>
            <w:pPr>
              <w:pStyle w:val="Compact"/>
              <w:jc w:val="center"/>
            </w:pPr>
            <w:r>
              <w:t xml:space="preserve">1422/135</w:t>
            </w:r>
          </w:p>
        </w:tc>
        <w:tc>
          <w:p>
            <w:pPr>
              <w:pStyle w:val="Compact"/>
              <w:jc w:val="center"/>
            </w:pPr>
            <w:r>
              <w:t xml:space="preserve">(26-35): 41.8% CO</w:t>
            </w:r>
          </w:p>
        </w:tc>
        <w:tc>
          <w:p>
            <w:pPr>
              <w:pStyle w:val="Compact"/>
              <w:jc w:val="center"/>
            </w:pPr>
            <w:r>
              <w:t xml:space="preserve">42 CO</w:t>
            </w:r>
          </w:p>
        </w:tc>
        <w:tc>
          <w:p>
            <w:pPr>
              <w:pStyle w:val="Compact"/>
              <w:jc w:val="center"/>
            </w:pPr>
            <w:r>
              <w:t xml:space="preserve">Patients with COVID-19 confirmed by RT-PCR</w:t>
            </w:r>
          </w:p>
        </w:tc>
        <w:tc>
          <w:p>
            <w:pPr>
              <w:pStyle w:val="Compact"/>
              <w:jc w:val="center"/>
            </w:pPr>
            <w:r>
              <w:t xml:space="preserve">Healthy population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Solmaz et al. 2021</w:t>
            </w:r>
          </w:p>
        </w:tc>
        <w:tc>
          <w:p>
            <w:pPr>
              <w:pStyle w:val="Compact"/>
              <w:jc w:val="center"/>
            </w:pPr>
            <w:r>
              <w:t xml:space="preserve">Turkey</w:t>
            </w:r>
          </w:p>
        </w:tc>
        <w:tc>
          <w:p>
            <w:pPr>
              <w:pStyle w:val="Compact"/>
              <w:jc w:val="center"/>
            </w:pPr>
            <w:r>
              <w:t xml:space="preserve">Cross-Sectional</w:t>
            </w:r>
          </w:p>
        </w:tc>
        <w:tc>
          <w:p>
            <w:pPr>
              <w:pStyle w:val="Compact"/>
              <w:jc w:val="center"/>
            </w:pPr>
            <w:r>
              <w:t xml:space="preserve">1667/127091</w:t>
            </w:r>
          </w:p>
        </w:tc>
        <w:tc>
          <w:p>
            <w:pPr>
              <w:pStyle w:val="Compact"/>
              <w:jc w:val="center"/>
            </w:pPr>
            <w:r>
              <w:t xml:space="preserve">113868/14980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Patients with COVID-19 confirmed by RT-PCR</w:t>
            </w:r>
          </w:p>
        </w:tc>
        <w:tc>
          <w:p>
            <w:pPr>
              <w:pStyle w:val="Compact"/>
              <w:jc w:val="center"/>
            </w:pPr>
            <w:r>
              <w:t xml:space="preserve">Healthy population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Ad’hiah et al. 2020</w:t>
            </w:r>
          </w:p>
        </w:tc>
        <w:tc>
          <w:p>
            <w:pPr>
              <w:pStyle w:val="Compact"/>
              <w:jc w:val="center"/>
            </w:pPr>
            <w:r>
              <w:t xml:space="preserve">Iraq</w:t>
            </w:r>
          </w:p>
        </w:tc>
        <w:tc>
          <w:p>
            <w:pPr>
              <w:pStyle w:val="Compact"/>
              <w:jc w:val="center"/>
            </w:pPr>
            <w:r>
              <w:t xml:space="preserve">Case-Control</w:t>
            </w:r>
          </w:p>
        </w:tc>
        <w:tc>
          <w:p>
            <w:pPr>
              <w:pStyle w:val="Compact"/>
              <w:jc w:val="center"/>
            </w:pPr>
            <w:r>
              <w:t xml:space="preserve">300/595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Mean Age ±SD:</w:t>
            </w:r>
            <w:r>
              <w:t xml:space="preserve"> </w:t>
            </w:r>
            <w:r>
              <w:t xml:space="preserve">(49.7±12.3/29.3±6.9)</w:t>
            </w:r>
          </w:p>
        </w:tc>
        <w:tc>
          <w:p>
            <w:pPr>
              <w:pStyle w:val="Compact"/>
              <w:jc w:val="center"/>
            </w:pPr>
            <w:r>
              <w:t xml:space="preserve">59.7/49.7</w:t>
            </w:r>
          </w:p>
        </w:tc>
        <w:tc>
          <w:p>
            <w:pPr>
              <w:pStyle w:val="Compact"/>
              <w:jc w:val="center"/>
            </w:pPr>
            <w:r>
              <w:t xml:space="preserve">Patients with COVID-19 confirmed by RT-PCR</w:t>
            </w:r>
          </w:p>
        </w:tc>
        <w:tc>
          <w:p>
            <w:pPr>
              <w:pStyle w:val="Compact"/>
              <w:jc w:val="center"/>
            </w:pPr>
            <w:r>
              <w:t xml:space="preserve">Healthy blood donors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Hoiland et al. 2020</w:t>
            </w:r>
          </w:p>
        </w:tc>
        <w:tc>
          <w:p>
            <w:pPr>
              <w:pStyle w:val="Compact"/>
              <w:jc w:val="center"/>
            </w:pPr>
            <w:r>
              <w:t xml:space="preserve">Canada</w:t>
            </w:r>
          </w:p>
        </w:tc>
        <w:tc>
          <w:p>
            <w:pPr>
              <w:pStyle w:val="Compact"/>
              <w:jc w:val="center"/>
            </w:pPr>
            <w:r>
              <w:t xml:space="preserve">Retrospective Cohort</w:t>
            </w:r>
          </w:p>
        </w:tc>
        <w:tc>
          <w:p>
            <w:pPr>
              <w:pStyle w:val="Compact"/>
              <w:jc w:val="center"/>
            </w:pPr>
            <w:r>
              <w:t xml:space="preserve">95/398671</w:t>
            </w:r>
            <w:r>
              <w:t xml:space="preserve"> </w:t>
            </w:r>
            <w:r>
              <w:t xml:space="preserve">95/62246</w:t>
            </w:r>
          </w:p>
        </w:tc>
        <w:tc>
          <w:p>
            <w:pPr>
              <w:pStyle w:val="Compact"/>
              <w:jc w:val="center"/>
            </w:pPr>
            <w:r>
              <w:t xml:space="preserve">ND</w:t>
            </w:r>
          </w:p>
        </w:tc>
        <w:tc>
          <w:p>
            <w:pPr>
              <w:pStyle w:val="Compact"/>
              <w:jc w:val="center"/>
            </w:pPr>
            <w:r>
              <w:t xml:space="preserve">Median Age (IQR) of 60%:</w:t>
            </w:r>
            <w:r>
              <w:t xml:space="preserve"> </w:t>
            </w:r>
            <w:r>
              <w:t xml:space="preserve">66 (58-73) CO</w:t>
            </w:r>
          </w:p>
        </w:tc>
        <w:tc>
          <w:p>
            <w:pPr>
              <w:pStyle w:val="Compact"/>
              <w:jc w:val="center"/>
            </w:pPr>
            <w:r>
              <w:t xml:space="preserve">64.2 CO</w:t>
            </w:r>
          </w:p>
        </w:tc>
        <w:tc>
          <w:p>
            <w:pPr>
              <w:pStyle w:val="Compact"/>
              <w:jc w:val="center"/>
            </w:pPr>
            <w:r>
              <w:t xml:space="preserve">Patients with COVID-19 confirmed by RT-PCR</w:t>
            </w:r>
          </w:p>
        </w:tc>
        <w:tc>
          <w:p>
            <w:pPr>
              <w:pStyle w:val="Compact"/>
              <w:jc w:val="center"/>
            </w:pPr>
            <w:r>
              <w:t xml:space="preserve">Healthy blood donors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Goker et al. 2020</w:t>
            </w:r>
          </w:p>
        </w:tc>
        <w:tc>
          <w:p>
            <w:pPr>
              <w:pStyle w:val="Compact"/>
              <w:jc w:val="center"/>
            </w:pPr>
            <w:r>
              <w:t xml:space="preserve">Turkey</w:t>
            </w:r>
          </w:p>
        </w:tc>
        <w:tc>
          <w:p>
            <w:pPr>
              <w:pStyle w:val="Compact"/>
              <w:jc w:val="center"/>
            </w:pPr>
            <w:r>
              <w:t xml:space="preserve">Retrospective Case-Control</w:t>
            </w:r>
          </w:p>
        </w:tc>
        <w:tc>
          <w:p>
            <w:pPr>
              <w:pStyle w:val="Compact"/>
              <w:jc w:val="center"/>
            </w:pPr>
            <w:r>
              <w:t xml:space="preserve">186/1882</w:t>
            </w:r>
          </w:p>
        </w:tc>
        <w:tc>
          <w:p>
            <w:pPr>
              <w:pStyle w:val="Compact"/>
              <w:jc w:val="center"/>
            </w:pPr>
            <w:r>
              <w:t xml:space="preserve">1868/200</w:t>
            </w:r>
          </w:p>
        </w:tc>
        <w:tc>
          <w:p>
            <w:pPr>
              <w:pStyle w:val="Compact"/>
              <w:jc w:val="center"/>
            </w:pPr>
            <w:r>
              <w:t xml:space="preserve">Median Age (IQR):</w:t>
            </w:r>
            <w:r>
              <w:t xml:space="preserve"> </w:t>
            </w:r>
            <w:r>
              <w:t xml:space="preserve">42 (19-92) CO</w:t>
            </w:r>
          </w:p>
        </w:tc>
        <w:tc>
          <w:p>
            <w:pPr>
              <w:pStyle w:val="Compact"/>
              <w:jc w:val="center"/>
            </w:pPr>
            <w:r>
              <w:t xml:space="preserve">53.8 CO</w:t>
            </w:r>
          </w:p>
        </w:tc>
        <w:tc>
          <w:p>
            <w:pPr>
              <w:pStyle w:val="Compact"/>
              <w:jc w:val="center"/>
            </w:pPr>
            <w:r>
              <w:t xml:space="preserve">Patients with COVID-19 confirmed by RT-PCR</w:t>
            </w:r>
          </w:p>
        </w:tc>
        <w:tc>
          <w:p>
            <w:pPr>
              <w:pStyle w:val="Compact"/>
              <w:jc w:val="center"/>
            </w:pPr>
            <w:r>
              <w:t xml:space="preserve">Healthy blood donors</w:t>
            </w:r>
          </w:p>
        </w:tc>
      </w:tr>
    </w:tbl>
    <w:p>
      <w:pPr>
        <w:pStyle w:val="Heading2"/>
      </w:pPr>
      <w:bookmarkStart w:id="28" w:name="association-between-blood-groups-and-covid-19-infection"/>
      <w:bookmarkEnd w:id="28"/>
      <w:r>
        <w:t xml:space="preserve">Association between blood groups and COVID-19</w:t>
      </w:r>
      <w:r>
        <w:t xml:space="preserve"> </w:t>
      </w:r>
      <w:r>
        <w:t xml:space="preserve">infection</w:t>
      </w:r>
    </w:p>
    <w:p>
      <w:pPr>
        <w:pStyle w:val="FirstParagraph"/>
      </w:pPr>
      <w:r>
        <w:t xml:space="preserve">Meta-analysis for the ABO group (Table 2 and Figures 2-7), revealed</w:t>
      </w:r>
      <w:r>
        <w:t xml:space="preserve"> </w:t>
      </w:r>
      <w:r>
        <w:t xml:space="preserve">increased odds of COVID-19 infection in the (i) A group vs O (OR = 1.29,</w:t>
      </w:r>
      <w:r>
        <w:t xml:space="preserve"> </w:t>
      </w:r>
      <w:r>
        <w:t xml:space="preserve">95% Confidence Interval: 1.15 to 1.44), (ii)  B vs O (OR = 1.15, 95%</w:t>
      </w:r>
      <w:r>
        <w:t xml:space="preserve"> </w:t>
      </w:r>
      <w:r>
        <w:t xml:space="preserve">CI 1.06 to 1.25), and (iii) AB vs. O (OR = 1.32, 95% CI 1.10 to 1.57).</w:t>
      </w:r>
      <w:r>
        <w:t xml:space="preserve"> </w:t>
      </w:r>
      <w:r>
        <w:t xml:space="preserve">Prediction interv</w:t>
      </w:r>
      <w:r>
        <w:t xml:space="preserve">als i</w:t>
      </w:r>
      <w:r>
        <w:t xml:space="preserve">nclude the reference value of 1 for the OR in</w:t>
      </w:r>
      <w:r>
        <w:t xml:space="preserve"> </w:t>
      </w:r>
      <w:r>
        <w:t xml:space="preserve">all pairwise comparisons.  The visual inspection of the funnel plots</w:t>
      </w:r>
      <w:r>
        <w:t xml:space="preserve"> </w:t>
      </w:r>
      <w:r>
        <w:t xml:space="preserve">(Fig. 8) and the results of Egger’s test showed some evidence of</w:t>
      </w:r>
      <w:r>
        <w:t xml:space="preserve"> </w:t>
      </w:r>
      <w:r>
        <w:t xml:space="preserve">publication bias for the comparison between of A vs. O (p=0.013) and A</w:t>
      </w:r>
      <w:r>
        <w:t xml:space="preserve"> </w:t>
      </w:r>
      <w:r>
        <w:t xml:space="preserve">vs. B (p=0.047). Sensitivity analysis by the leave-one-out method</w:t>
      </w:r>
      <w:r>
        <w:t xml:space="preserve"> </w:t>
      </w:r>
      <w:r>
        <w:t xml:space="preserve">provided similar estimates (Supplementary Files). </w:t>
      </w:r>
    </w:p>
    <w:p>
      <w:pPr>
        <w:pStyle w:val="TableCaption"/>
      </w:pPr>
      <w:r>
        <w:t xml:space="preserve">Meta-analysis results</w:t>
      </w:r>
      <w:r>
        <w:t xml:space="preserve"> </w:t>
      </w:r>
    </w:p>
    <w:tbl>
      <w:tblPr>
        <w:tblStyle w:val="TableNormal"/>
        <w:tblW w:type="pct" w:w="0.0"/>
        <w:tblLook/>
        <w:tblCaption w:val="Meta-analysis results "/>
      </w:tblPr>
      <w:tblGrid/>
      <w:tr>
        <w:tc>
          <w:p>
            <w:pPr>
              <w:pStyle w:val="Compact"/>
              <w:jc w:val="center"/>
            </w:pPr>
            <w:r>
              <w:t xml:space="preserve">Blood groups / Rhesus status</w:t>
            </w:r>
          </w:p>
        </w:tc>
        <w:tc>
          <w:p>
            <w:pPr>
              <w:pStyle w:val="Compact"/>
              <w:jc w:val="center"/>
            </w:pPr>
            <w:r>
              <w:t xml:space="preserve">Comparison</w:t>
            </w:r>
          </w:p>
        </w:tc>
        <w:tc>
          <w:p>
            <w:pPr>
              <w:pStyle w:val="Compact"/>
              <w:jc w:val="center"/>
            </w:pPr>
            <w:r>
              <w:t xml:space="preserve">OR</w:t>
            </w:r>
          </w:p>
        </w:tc>
        <w:tc>
          <w:p>
            <w:pPr>
              <w:pStyle w:val="Compact"/>
              <w:jc w:val="center"/>
            </w:pPr>
            <w:r>
              <w:t xml:space="preserve">95% CI</w:t>
            </w:r>
          </w:p>
        </w:tc>
        <w:tc>
          <w:p>
            <w:pPr>
              <w:pStyle w:val="Compact"/>
              <w:jc w:val="center"/>
            </w:pPr>
            <w:r>
              <w:t xml:space="preserve">95% PI</w:t>
            </w:r>
          </w:p>
        </w:tc>
        <w:tc>
          <w:p>
            <w:pPr>
              <w:pStyle w:val="Compact"/>
              <w:jc w:val="center"/>
            </w:pPr>
            <w:r>
              <w:t xml:space="preserve">I2</w:t>
            </w:r>
          </w:p>
        </w:tc>
        <w:tc>
          <w:p>
            <w:pPr>
              <w:pStyle w:val="Compact"/>
              <w:jc w:val="center"/>
            </w:pPr>
            <w:r>
              <w:t xml:space="preserve">95% CI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ABO</w:t>
            </w:r>
          </w:p>
        </w:tc>
        <w:tc>
          <w:p>
            <w:pPr>
              <w:pStyle w:val="Compact"/>
              <w:jc w:val="center"/>
            </w:pPr>
            <w:r>
              <w:t xml:space="preserve">A - AB</w:t>
            </w:r>
          </w:p>
        </w:tc>
        <w:tc>
          <w:p>
            <w:pPr>
              <w:pStyle w:val="Compact"/>
              <w:jc w:val="center"/>
            </w:pPr>
            <w:r>
              <w:t xml:space="preserve">0.98</w:t>
            </w:r>
          </w:p>
        </w:tc>
        <w:tc>
          <w:p>
            <w:pPr>
              <w:pStyle w:val="Compact"/>
              <w:jc w:val="center"/>
            </w:pPr>
            <w:r>
              <w:t xml:space="preserve">(082 to 117)</w:t>
            </w:r>
          </w:p>
        </w:tc>
        <w:tc>
          <w:p>
            <w:pPr>
              <w:pStyle w:val="Compact"/>
              <w:jc w:val="center"/>
            </w:pPr>
            <w:r>
              <w:t xml:space="preserve">(048 to 198)</w:t>
            </w:r>
          </w:p>
        </w:tc>
        <w:tc>
          <w:p>
            <w:pPr>
              <w:pStyle w:val="Compact"/>
              <w:jc w:val="center"/>
            </w:pPr>
            <w:r>
              <w:t xml:space="preserve">0.25</w:t>
            </w:r>
          </w:p>
        </w:tc>
        <w:tc>
          <w:p>
            <w:pPr>
              <w:pStyle w:val="Compact"/>
              <w:jc w:val="center"/>
            </w:pPr>
            <w:r>
              <w:t xml:space="preserve">(0 % to 56 %)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A - B</w:t>
            </w:r>
          </w:p>
        </w:tc>
        <w:tc>
          <w:p>
            <w:pPr>
              <w:pStyle w:val="Compact"/>
              <w:jc w:val="center"/>
            </w:pPr>
            <w:r>
              <w:t xml:space="preserve">1.1</w:t>
            </w:r>
          </w:p>
        </w:tc>
        <w:tc>
          <w:p>
            <w:pPr>
              <w:pStyle w:val="Compact"/>
              <w:jc w:val="center"/>
            </w:pPr>
            <w:r>
              <w:t xml:space="preserve">(098 to 123)</w:t>
            </w:r>
          </w:p>
        </w:tc>
        <w:tc>
          <w:p>
            <w:pPr>
              <w:pStyle w:val="Compact"/>
              <w:jc w:val="center"/>
            </w:pPr>
            <w:r>
              <w:t xml:space="preserve">(067 to 179)</w:t>
            </w:r>
          </w:p>
        </w:tc>
        <w:tc>
          <w:p>
            <w:pPr>
              <w:pStyle w:val="Compact"/>
              <w:jc w:val="center"/>
            </w:pPr>
            <w:r>
              <w:t xml:space="preserve">0.26</w:t>
            </w:r>
          </w:p>
        </w:tc>
        <w:tc>
          <w:p>
            <w:pPr>
              <w:pStyle w:val="Compact"/>
              <w:jc w:val="center"/>
            </w:pPr>
            <w:r>
              <w:t xml:space="preserve">(0 % to 56 %)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A - O</w:t>
            </w:r>
          </w:p>
        </w:tc>
        <w:tc>
          <w:p>
            <w:pPr>
              <w:pStyle w:val="Compact"/>
              <w:jc w:val="center"/>
            </w:pPr>
            <w:r>
              <w:t xml:space="preserve">1.29</w:t>
            </w:r>
          </w:p>
        </w:tc>
        <w:tc>
          <w:p>
            <w:pPr>
              <w:pStyle w:val="Compact"/>
              <w:jc w:val="center"/>
            </w:pPr>
            <w:r>
              <w:t xml:space="preserve">(115 to 144)</w:t>
            </w:r>
          </w:p>
        </w:tc>
        <w:tc>
          <w:p>
            <w:pPr>
              <w:pStyle w:val="Compact"/>
              <w:jc w:val="center"/>
            </w:pPr>
            <w:r>
              <w:t xml:space="preserve">(079 to 21)</w:t>
            </w:r>
          </w:p>
        </w:tc>
        <w:tc>
          <w:p>
            <w:pPr>
              <w:pStyle w:val="Compact"/>
              <w:jc w:val="center"/>
            </w:pPr>
            <w:r>
              <w:t xml:space="preserve">0.54</w:t>
            </w:r>
          </w:p>
        </w:tc>
        <w:tc>
          <w:p>
            <w:pPr>
              <w:pStyle w:val="Compact"/>
              <w:jc w:val="center"/>
            </w:pPr>
            <w:r>
              <w:t xml:space="preserve">(25 % to 71 %)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AB - B</w:t>
            </w:r>
          </w:p>
        </w:tc>
        <w:tc>
          <w:p>
            <w:pPr>
              <w:pStyle w:val="Compact"/>
              <w:jc w:val="center"/>
            </w:pPr>
            <w:r>
              <w:t xml:space="preserve">1.11</w:t>
            </w:r>
          </w:p>
        </w:tc>
        <w:tc>
          <w:p>
            <w:pPr>
              <w:pStyle w:val="Compact"/>
              <w:jc w:val="center"/>
            </w:pPr>
            <w:r>
              <w:t xml:space="preserve">(096 to 127)</w:t>
            </w:r>
          </w:p>
        </w:tc>
        <w:tc>
          <w:p>
            <w:pPr>
              <w:pStyle w:val="Compact"/>
              <w:jc w:val="center"/>
            </w:pPr>
            <w:r>
              <w:t xml:space="preserve">(066 to 186)</w:t>
            </w:r>
          </w:p>
        </w:tc>
        <w:tc>
          <w:p>
            <w:pPr>
              <w:pStyle w:val="Compact"/>
              <w:jc w:val="center"/>
            </w:pPr>
            <w:r>
              <w:t xml:space="preserve">0.03</w:t>
            </w:r>
          </w:p>
        </w:tc>
        <w:tc>
          <w:p>
            <w:pPr>
              <w:pStyle w:val="Compact"/>
              <w:jc w:val="center"/>
            </w:pPr>
            <w:r>
              <w:t xml:space="preserve">(0 % to 48 %)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AB - O</w:t>
            </w:r>
          </w:p>
        </w:tc>
        <w:tc>
          <w:p>
            <w:pPr>
              <w:pStyle w:val="Compact"/>
              <w:jc w:val="center"/>
            </w:pPr>
            <w:r>
              <w:t xml:space="preserve">1.32</w:t>
            </w:r>
          </w:p>
        </w:tc>
        <w:tc>
          <w:p>
            <w:pPr>
              <w:pStyle w:val="Compact"/>
              <w:jc w:val="center"/>
            </w:pPr>
            <w:r>
              <w:t xml:space="preserve">(110 to 157)</w:t>
            </w:r>
          </w:p>
        </w:tc>
        <w:tc>
          <w:p>
            <w:pPr>
              <w:pStyle w:val="Compact"/>
              <w:jc w:val="center"/>
            </w:pPr>
            <w:r>
              <w:t xml:space="preserve">(067 to 259)</w:t>
            </w:r>
          </w:p>
        </w:tc>
        <w:tc>
          <w:p>
            <w:pPr>
              <w:pStyle w:val="Compact"/>
              <w:jc w:val="center"/>
            </w:pPr>
            <w:r>
              <w:t xml:space="preserve">0.41</w:t>
            </w:r>
          </w:p>
        </w:tc>
        <w:tc>
          <w:p>
            <w:pPr>
              <w:pStyle w:val="Compact"/>
              <w:jc w:val="center"/>
            </w:pPr>
            <w:r>
              <w:t xml:space="preserve">(2 % to 65 %)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B - O</w:t>
            </w:r>
          </w:p>
        </w:tc>
        <w:tc>
          <w:p>
            <w:pPr>
              <w:pStyle w:val="Compact"/>
              <w:jc w:val="center"/>
            </w:pPr>
            <w:r>
              <w:t xml:space="preserve">1.15</w:t>
            </w:r>
          </w:p>
        </w:tc>
        <w:tc>
          <w:p>
            <w:pPr>
              <w:pStyle w:val="Compact"/>
              <w:jc w:val="center"/>
            </w:pPr>
            <w:r>
              <w:t xml:space="preserve">(106 to 125)</w:t>
            </w:r>
          </w:p>
        </w:tc>
        <w:tc>
          <w:p>
            <w:pPr>
              <w:pStyle w:val="Compact"/>
              <w:jc w:val="center"/>
            </w:pPr>
            <w:r>
              <w:t xml:space="preserve">(087 to 153)</w:t>
            </w:r>
          </w:p>
        </w:tc>
        <w:tc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p>
            <w:pPr>
              <w:pStyle w:val="Compact"/>
              <w:jc w:val="center"/>
            </w:pPr>
            <w:r>
              <w:t xml:space="preserve">(0 % to 38 %)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Rhesus</w:t>
            </w:r>
          </w:p>
        </w:tc>
        <w:tc>
          <w:p>
            <w:pPr>
              <w:pStyle w:val="Compact"/>
              <w:jc w:val="center"/>
            </w:pPr>
            <w:r>
              <w:t xml:space="preserve">Rh+ vs. Rh-</w:t>
            </w:r>
          </w:p>
        </w:tc>
        <w:tc>
          <w:p>
            <w:pPr>
              <w:pStyle w:val="Compact"/>
              <w:jc w:val="center"/>
            </w:pPr>
            <w:r>
              <w:t xml:space="preserve">0.97</w:t>
            </w:r>
          </w:p>
        </w:tc>
        <w:tc>
          <w:p>
            <w:pPr>
              <w:pStyle w:val="Compact"/>
              <w:jc w:val="center"/>
            </w:pPr>
            <w:r>
              <w:t xml:space="preserve">(083 to 113)</w:t>
            </w:r>
          </w:p>
        </w:tc>
        <w:tc>
          <w:p>
            <w:pPr>
              <w:pStyle w:val="Compact"/>
              <w:jc w:val="center"/>
            </w:pPr>
            <w:r>
              <w:t xml:space="preserve">(061 to 154)</w:t>
            </w:r>
          </w:p>
        </w:tc>
        <w:tc>
          <w:p>
            <w:pPr>
              <w:pStyle w:val="Compact"/>
              <w:jc w:val="center"/>
            </w:pPr>
            <w:r>
              <w:t xml:space="preserve">0.38</w:t>
            </w:r>
          </w:p>
        </w:tc>
        <w:tc>
          <w:p>
            <w:pPr>
              <w:pStyle w:val="Compact"/>
              <w:jc w:val="center"/>
            </w:pPr>
            <w:r>
              <w:t xml:space="preserve">(0 % to 70 %)</w:t>
            </w:r>
          </w:p>
        </w:tc>
      </w:tr>
    </w:tbl>
    <w:p>
      <w:pPr>
        <w:pStyle w:val="FigureWithCaption"/>
      </w:pPr>
      <w:r>
        <w:drawing>
          <wp:inline>
            <wp:extent cx="5334000" cy="4002452"/>
            <wp:effectExtent b="0" l="0" r="0" t="0"/>
            <wp:docPr descr="Forest plots for the ABO gene comparison of A vs. AB group " title="" id="1" name="Picture"/>
            <a:graphic>
              <a:graphicData uri="http://schemas.openxmlformats.org/drawingml/2006/picture">
                <pic:pic>
                  <pic:nvPicPr>
                    <pic:cNvPr descr="figures/ABO-forest/ABO-forest-A---AB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2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Fores</w:t>
      </w:r>
      <w:r>
        <w:t xml:space="preserve">t plots for the ABO gen</w:t>
      </w:r>
      <w:r>
        <w:t xml:space="preserve">e comparison of A vs. AB group</w:t>
      </w:r>
      <w:r>
        <w:t xml:space="preserve"> </w:t>
      </w:r>
    </w:p>
    <w:p>
      <w:pPr>
        <w:pStyle w:val="FigureWithCaption"/>
      </w:pPr>
      <w:r>
        <w:drawing>
          <wp:inline>
            <wp:extent cx="5334000" cy="4002452"/>
            <wp:effectExtent b="0" l="0" r="0" t="0"/>
            <wp:docPr descr="Forest plots for the ABO gene comparison of A vs. B group " title="" id="1" name="Picture"/>
            <a:graphic>
              <a:graphicData uri="http://schemas.openxmlformats.org/drawingml/2006/picture">
                <pic:pic>
                  <pic:nvPicPr>
                    <pic:cNvPr descr="figures/ABO-forest-A---B/ABO-forest-A---B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2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Forest plots for the ABO gene comparison of A vs. B group</w:t>
      </w:r>
      <w:r>
        <w:t xml:space="preserve"> </w:t>
      </w:r>
    </w:p>
    <w:p>
      <w:pPr>
        <w:pStyle w:val="FigureWithCaption"/>
      </w:pPr>
      <w:r>
        <w:drawing>
          <wp:inline>
            <wp:extent cx="5334000" cy="4002452"/>
            <wp:effectExtent b="0" l="0" r="0" t="0"/>
            <wp:docPr descr="Forest plots for the ABO gene comparison of A vs. O group " title="" id="1" name="Picture"/>
            <a:graphic>
              <a:graphicData uri="http://schemas.openxmlformats.org/drawingml/2006/picture">
                <pic:pic>
                  <pic:nvPicPr>
                    <pic:cNvPr descr="figures/ABO-forest-A---O/ABO-forest-A---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2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Forest plots for the ABO gene comparison of A vs. O group</w:t>
      </w:r>
      <w:r>
        <w:t xml:space="preserve"> </w:t>
      </w:r>
    </w:p>
    <w:p>
      <w:pPr>
        <w:pStyle w:val="FigureWithCaption"/>
      </w:pPr>
      <w:r>
        <w:drawing>
          <wp:inline>
            <wp:extent cx="5334000" cy="4002452"/>
            <wp:effectExtent b="0" l="0" r="0" t="0"/>
            <wp:docPr descr="Forest plots for the ABO gene comparison of B vs. AB group " title="" id="1" name="Picture"/>
            <a:graphic>
              <a:graphicData uri="http://schemas.openxmlformats.org/drawingml/2006/picture">
                <pic:pic>
                  <pic:nvPicPr>
                    <pic:cNvPr descr="figures/ABO-forest-AB---B/ABO-forest-AB---B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2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Forest plots for the ABO gene comparison of B vs. AB group</w:t>
      </w:r>
      <w:r>
        <w:t xml:space="preserve"> </w:t>
      </w:r>
    </w:p>
    <w:p>
      <w:pPr>
        <w:pStyle w:val="FigureWithCaption"/>
      </w:pPr>
      <w:r>
        <w:drawing>
          <wp:inline>
            <wp:extent cx="5334000" cy="4002452"/>
            <wp:effectExtent b="0" l="0" r="0" t="0"/>
            <wp:docPr descr="Forest plots for the ABO gene comparison of O vs. AB group " title="" id="1" name="Picture"/>
            <a:graphic>
              <a:graphicData uri="http://schemas.openxmlformats.org/drawingml/2006/picture">
                <pic:pic>
                  <pic:nvPicPr>
                    <pic:cNvPr descr="figures/ABO-forest-AB---O/ABO-forest-AB---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2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Forest plots for the ABO gene comparison of O vs. AB group</w:t>
      </w:r>
      <w:r>
        <w:t xml:space="preserve"> </w:t>
      </w:r>
    </w:p>
    <w:p>
      <w:pPr>
        <w:pStyle w:val="FigureWithCaption"/>
      </w:pPr>
      <w:r>
        <w:drawing>
          <wp:inline>
            <wp:extent cx="5334000" cy="4002452"/>
            <wp:effectExtent b="0" l="0" r="0" t="0"/>
            <wp:docPr descr="Forest plots for the ABO gene comparison of B vs. O group " title="" id="1" name="Picture"/>
            <a:graphic>
              <a:graphicData uri="http://schemas.openxmlformats.org/drawingml/2006/picture">
                <pic:pic>
                  <pic:nvPicPr>
                    <pic:cNvPr descr="figures/ABO-forest-B---O/ABO-forest-B---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2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Forest plots for the ABO gene comparison of B vs. O group</w:t>
      </w:r>
      <w:r>
        <w:t xml:space="preserve"> </w:t>
      </w:r>
    </w:p>
    <w:p>
      <w:pPr>
        <w:pStyle w:val="FigureWithCaption"/>
      </w:pPr>
      <w:r>
        <w:drawing>
          <wp:inline>
            <wp:extent cx="5334000" cy="3557301"/>
            <wp:effectExtent b="0" l="0" r="0" t="0"/>
            <wp:docPr descr="Funnel plots for the ABO gene " title="" id="1" name="Picture"/>
            <a:graphic>
              <a:graphicData uri="http://schemas.openxmlformats.org/drawingml/2006/picture">
                <pic:pic>
                  <pic:nvPicPr>
                    <pic:cNvPr descr="figures/ABO-funnel/ABO-funne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Funnel plots for the ABO gene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6" w:name="association-between-rhesus-status-and-covid-19-infection"/>
      <w:bookmarkEnd w:id="36"/>
      <w:r>
        <w:t xml:space="preserve">Association between Rhesus status and COVID-19</w:t>
      </w:r>
      <w:r>
        <w:t xml:space="preserve"> </w:t>
      </w:r>
      <w:r>
        <w:t xml:space="preserve">infection</w:t>
      </w:r>
    </w:p>
    <w:p>
      <w:pPr>
        <w:pStyle w:val="FirstParagraph"/>
      </w:pPr>
      <w:r>
        <w:t xml:space="preserve">Meta-analysis of the association between Rhesus state and COVID-19</w:t>
      </w:r>
      <w:r>
        <w:t xml:space="preserve"> </w:t>
      </w:r>
      <w:r>
        <w:t xml:space="preserve">infection (Figures 9 and 10) in the 10 studies that included information</w:t>
      </w:r>
      <w:r>
        <w:t xml:space="preserve"> </w:t>
      </w:r>
      <w:r>
        <w:t xml:space="preserve">on Rhesus, did not provide evidence of association with the COVID-19</w:t>
      </w:r>
      <w:r>
        <w:t xml:space="preserve"> </w:t>
      </w:r>
      <w:r>
        <w:t xml:space="preserve">infection (Rh+ vs Rh- OR = 0.97, 95% CI 0.83 to 1.13).</w:t>
      </w:r>
      <w:r>
        <w:t xml:space="preserve"> </w:t>
      </w:r>
      <w:r>
        <w:t xml:space="preserve">The 95% PI</w:t>
      </w:r>
      <w:r>
        <w:t xml:space="preserve"> </w:t>
      </w:r>
      <w:r>
        <w:t xml:space="preserve">includes the reference value of 1 for the OR in all pairwise</w:t>
      </w:r>
      <w:r>
        <w:t xml:space="preserve"> </w:t>
      </w:r>
      <w:r>
        <w:t xml:space="preserve">comparisons. T</w:t>
      </w:r>
      <w:r>
        <w:t xml:space="preserve">he leave-one-out sensitivity analysis provided similar</w:t>
      </w:r>
      <w:r>
        <w:t xml:space="preserve"> </w:t>
      </w:r>
      <w:r>
        <w:t xml:space="preserve">estimates (Supplementary Files). Visual inspection of the funnel plot</w:t>
      </w:r>
      <w:r>
        <w:t xml:space="preserve"> </w:t>
      </w:r>
      <w:r>
        <w:t xml:space="preserve">(Figure 5) and the results of Egger’s test (p=0.618) showed no evidence</w:t>
      </w:r>
      <w:r>
        <w:t xml:space="preserve"> </w:t>
      </w:r>
      <w:r>
        <w:t xml:space="preserve">of publication bias. </w:t>
      </w:r>
    </w:p>
    <w:p>
      <w:pPr>
        <w:pStyle w:val="FigureWithCaption"/>
      </w:pPr>
      <w:r>
        <w:drawing>
          <wp:inline>
            <wp:extent cx="5334000" cy="2667000"/>
            <wp:effectExtent b="0" l="0" r="0" t="0"/>
            <wp:docPr descr="Forest plot for the Rhesus status " title="" id="1" name="Picture"/>
            <a:graphic>
              <a:graphicData uri="http://schemas.openxmlformats.org/drawingml/2006/picture">
                <pic:pic>
                  <pic:nvPicPr>
                    <pic:cNvPr descr="figures/Rh-forest/Rh-fores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Forest plot for the Rhesus status</w:t>
      </w:r>
      <w:r>
        <w:t xml:space="preserve"> </w:t>
      </w:r>
    </w:p>
    <w:p>
      <w:pPr>
        <w:pStyle w:val="FigureWithCaption"/>
      </w:pPr>
      <w:r>
        <w:drawing>
          <wp:inline>
            <wp:extent cx="5334000" cy="5334000"/>
            <wp:effectExtent b="0" l="0" r="0" t="0"/>
            <wp:docPr descr="Funnel plot for the Rhesus status " title="" id="1" name="Picture"/>
            <a:graphic>
              <a:graphicData uri="http://schemas.openxmlformats.org/drawingml/2006/picture">
                <pic:pic>
                  <pic:nvPicPr>
                    <pic:cNvPr descr="figures/Rh-funnel/Rh-funne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Funnel plot for the Rhesus status</w:t>
      </w:r>
      <w:r>
        <w:t xml:space="preserve"> </w:t>
      </w:r>
    </w:p>
    <w:p>
      <w:pPr>
        <w:pStyle w:val="Heading1"/>
      </w:pPr>
      <w:bookmarkStart w:id="39" w:name="discussion"/>
      <w:bookmarkEnd w:id="39"/>
      <w:r>
        <w:t xml:space="preserve">Discussion</w:t>
      </w:r>
    </w:p>
    <w:p>
      <w:pPr>
        <w:pStyle w:val="FirstParagraph"/>
      </w:pPr>
      <w:r>
        <w:t xml:space="preserve">The aim of the study was to assess the relationship between COVID-19</w:t>
      </w:r>
      <w:r>
        <w:t xml:space="preserve"> </w:t>
      </w:r>
      <w:r>
        <w:t xml:space="preserve">infection and different blood groups, as well as Rhesus state, using a</w:t>
      </w:r>
      <w:r>
        <w:t xml:space="preserve"> </w:t>
      </w:r>
      <w:r>
        <w:t xml:space="preserve">meta-analysis method. Twenty-two studies were selected for blood type</w:t>
      </w:r>
      <w:r>
        <w:t xml:space="preserve"> </w:t>
      </w:r>
      <w:r>
        <w:t xml:space="preserve">and ten for the Rhesus factor. Our results revealed that the blood</w:t>
      </w:r>
      <w:r>
        <w:t xml:space="preserve"> </w:t>
      </w:r>
      <w:r>
        <w:t xml:space="preserve">groups A, B and AB are associated with an increase in the risk of</w:t>
      </w:r>
      <w:r>
        <w:t xml:space="preserve"> </w:t>
      </w:r>
      <w:r>
        <w:t xml:space="preserve">COVID-19 infection in comparison with the O blood group, which seems to</w:t>
      </w:r>
      <w:r>
        <w:t xml:space="preserve"> </w:t>
      </w:r>
      <w:r>
        <w:t xml:space="preserve">be protective. A mild publication bias was observed for the A and O</w:t>
      </w:r>
      <w:r>
        <w:t xml:space="preserve"> </w:t>
      </w:r>
      <w:r>
        <w:t xml:space="preserve">blood group pair, through the visual inspection of the funnel plots and</w:t>
      </w:r>
      <w:r>
        <w:t xml:space="preserve"> </w:t>
      </w:r>
      <w:r>
        <w:t xml:space="preserve">the results of Egger’s test. Further, moderate to substantial</w:t>
      </w:r>
      <w:r>
        <w:t xml:space="preserve"> </w:t>
      </w:r>
      <w:r>
        <w:t xml:space="preserve">heterogeneity, has been observed for the blood groups A and AB in</w:t>
      </w:r>
      <w:r>
        <w:t xml:space="preserve"> </w:t>
      </w:r>
      <w:r>
        <w:t xml:space="preserve">comparison with the O blood group. Blood group B was characterized by</w:t>
      </w:r>
      <w:r>
        <w:t xml:space="preserve"> </w:t>
      </w:r>
      <w:r>
        <w:t xml:space="preserve">the absence of heterogeneity.</w:t>
      </w:r>
    </w:p>
    <w:p>
      <w:pPr>
        <w:pStyle w:val="BodyText"/>
      </w:pPr>
      <w:r>
        <w:t xml:space="preserve">Although the mechanisms that can explain the observed data have not yet</w:t>
      </w:r>
      <w:r>
        <w:t xml:space="preserve"> </w:t>
      </w:r>
      <w:r>
        <w:t xml:space="preserve">been clarified, some assumptions can be made. The main one assumes that</w:t>
      </w:r>
      <w:r>
        <w:t xml:space="preserve"> </w:t>
      </w:r>
      <w:r>
        <w:t xml:space="preserve">the anti-A and anti-B natural antibodies being produced in individuals</w:t>
      </w:r>
      <w:r>
        <w:t xml:space="preserve"> </w:t>
      </w:r>
      <w:r>
        <w:t xml:space="preserve">with blood group O could potentially block viral adhesion to cells,</w:t>
      </w:r>
      <w:r>
        <w:t xml:space="preserve"> </w:t>
      </w:r>
      <w:r>
        <w:t xml:space="preserve">which could explain a lower risk of infection. Potential lack of such</w:t>
      </w:r>
      <w:r>
        <w:t xml:space="preserve"> </w:t>
      </w:r>
      <w:r>
        <w:t xml:space="preserve">antibodies in blood groups A and B may explain the higher risk of</w:t>
      </w:r>
      <w:r>
        <w:t xml:space="preserve"> </w:t>
      </w:r>
      <w:r>
        <w:t xml:space="preserve">COVID-19 infection but further studies are needed to elucidate this</w:t>
      </w:r>
      <w:r>
        <w:t xml:space="preserve"> </w:t>
      </w:r>
      <w:r>
        <w:t xml:space="preserve">hupothesis (Pourali et al. 2020). Concerning the Rhesus status, there was</w:t>
      </w:r>
      <w:r>
        <w:t xml:space="preserve"> </w:t>
      </w:r>
      <w:r>
        <w:t xml:space="preserve">not evidence of an association with COVID-19 infection. The visual</w:t>
      </w:r>
      <w:r>
        <w:t xml:space="preserve"> </w:t>
      </w:r>
      <w:r>
        <w:t xml:space="preserve">inspection of the Rhesus factor funnel plot and the results of Egger’s</w:t>
      </w:r>
      <w:r>
        <w:t xml:space="preserve"> </w:t>
      </w:r>
      <w:r>
        <w:t xml:space="preserve">test showed moderate heterogeneity but no evidence of publication bias.</w:t>
      </w:r>
    </w:p>
    <w:p>
      <w:pPr>
        <w:pStyle w:val="BodyText"/>
      </w:pPr>
      <w:r>
        <w:t xml:space="preserve">The interpretation of the overall estimates should be done with caution</w:t>
      </w:r>
      <w:r>
        <w:t xml:space="preserve"> </w:t>
      </w:r>
      <w:r>
        <w:t xml:space="preserve">because of the observed heterogeneity between studies. There was</w:t>
      </w:r>
      <w:r>
        <w:t xml:space="preserve"> </w:t>
      </w:r>
      <w:r>
        <w:t xml:space="preserve">variability in the design and sample size, while a considerable part of</w:t>
      </w:r>
      <w:r>
        <w:t xml:space="preserve"> </w:t>
      </w:r>
      <w:r>
        <w:t xml:space="preserve">the pooled control population comes mainly from a single</w:t>
      </w:r>
      <w:r>
        <w:t xml:space="preserve"> </w:t>
      </w:r>
      <w:r>
        <w:t xml:space="preserve">study (Golinelli et al. 2020). Further,  the COVID-19 confirmation method was</w:t>
      </w:r>
      <w:r>
        <w:t xml:space="preserve"> </w:t>
      </w:r>
      <w:r>
        <w:t xml:space="preserve">either genetic, clinical, or even unreported while potential confounding</w:t>
      </w:r>
      <w:r>
        <w:t xml:space="preserve"> </w:t>
      </w:r>
      <w:r>
        <w:t xml:space="preserve">factors such as age, gender, race, region, and underlying diseases that</w:t>
      </w:r>
      <w:r>
        <w:t xml:space="preserve"> </w:t>
      </w:r>
      <w:r>
        <w:t xml:space="preserve">may influence the predisposition to COVID-19 infection could not be</w:t>
      </w:r>
      <w:r>
        <w:t xml:space="preserve"> </w:t>
      </w:r>
      <w:r>
        <w:t xml:space="preserve">accounted for due to absence of relevant information. Finally, the</w:t>
      </w:r>
      <w:r>
        <w:t xml:space="preserve"> </w:t>
      </w:r>
      <w:r>
        <w:t xml:space="preserve">observed publication bias may be due to the study language chosen, which</w:t>
      </w:r>
      <w:r>
        <w:t xml:space="preserve"> </w:t>
      </w:r>
      <w:r>
        <w:t xml:space="preserve">may have led to the exclusion of other relevant studies, in other</w:t>
      </w:r>
      <w:r>
        <w:t xml:space="preserve"> </w:t>
      </w:r>
      <w:r>
        <w:t xml:space="preserve">languages (Liu et al. 2020). Nevertheless, despite the unexplained</w:t>
      </w:r>
      <w:r>
        <w:t xml:space="preserve"> </w:t>
      </w:r>
      <w:r>
        <w:t xml:space="preserve">heterogeneity, subgroup and sensitivity analysis still confirmed our</w:t>
      </w:r>
      <w:r>
        <w:t xml:space="preserve"> </w:t>
      </w:r>
      <w:r>
        <w:t xml:space="preserve">results. </w:t>
      </w:r>
    </w:p>
    <w:p>
      <w:pPr>
        <w:pStyle w:val="BodyText"/>
      </w:pPr>
      <w:r>
        <w:t xml:space="preserve">In conclusion, this meta-analysis provides evidence for an increased</w:t>
      </w:r>
      <w:r>
        <w:t xml:space="preserve"> </w:t>
      </w:r>
      <w:r>
        <w:t xml:space="preserve">risk of  COVID-19 infection for blood groups A, B and AB compared to</w:t>
      </w:r>
      <w:r>
        <w:t xml:space="preserve"> </w:t>
      </w:r>
      <w:r>
        <w:t xml:space="preserve">blood group O, while an association between Rhesus state and COVID-19</w:t>
      </w:r>
      <w:r>
        <w:t xml:space="preserve"> </w:t>
      </w:r>
      <w:r>
        <w:t xml:space="preserve">infection could not be established.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40" w:name="supplementary-files"/>
      <w:bookmarkEnd w:id="40"/>
      <w:r>
        <w:t xml:space="preserve">Supplementary files</w:t>
      </w:r>
    </w:p>
    <w:p>
      <w:pPr>
        <w:pStyle w:val="FirstParagraph"/>
      </w:pPr>
      <w:r>
        <w:t xml:space="preserve">1. Leave-one-out method results for ABO blood group</w:t>
      </w:r>
    </w:p>
    <w:p>
      <w:pPr>
        <w:pStyle w:val="BodyText"/>
      </w:pPr>
      <w:r>
        <w:rPr>
          <w:b/>
        </w:rPr>
        <w:t xml:space="preserve">Hosted file</w:t>
      </w:r>
    </w:p>
    <w:p>
      <w:pPr>
        <w:pStyle w:val="BodyText"/>
      </w:pPr>
      <w:r>
        <w:rPr>
          <w:rStyle w:val="VerbatimChar"/>
        </w:rPr>
        <w:t xml:space="preserve">supplementary data_ABO_leave_one_out.xlsx</w:t>
      </w:r>
      <w:r>
        <w:t xml:space="preserve"> </w:t>
      </w:r>
      <w:r>
        <w:t xml:space="preserve">available at</w:t>
      </w:r>
      <w:r>
        <w:t xml:space="preserve"> </w:t>
      </w:r>
      <w:hyperlink r:id="rId41">
        <w:r>
          <w:rPr>
            <w:rStyle w:val="Hyperlink"/>
          </w:rPr>
          <w:t xml:space="preserve">https://authorea.com/users/155758/articles/518298-systematic-review-and-meta-analysis-of-the-effect-of-abo-blood-group-on-the-risk-of-covid-19-infection</w:t>
        </w:r>
      </w:hyperlink>
    </w:p>
    <w:p>
      <w:pPr>
        <w:pStyle w:val="BodyText"/>
      </w:pPr>
      <w:r>
        <w:t xml:space="preserve">2. Leave-one-out method results for Rhesus</w:t>
      </w:r>
    </w:p>
    <w:p>
      <w:pPr>
        <w:pStyle w:val="BodyText"/>
      </w:pPr>
      <w:r>
        <w:rPr>
          <w:b/>
        </w:rPr>
        <w:t xml:space="preserve">Hosted file</w:t>
      </w:r>
    </w:p>
    <w:p>
      <w:pPr>
        <w:pStyle w:val="BodyText"/>
      </w:pPr>
      <w:r>
        <w:rPr>
          <w:rStyle w:val="VerbatimChar"/>
        </w:rPr>
        <w:t xml:space="preserve">supplementary data_Rh_leave_one_out.xlsx</w:t>
      </w:r>
      <w:r>
        <w:t xml:space="preserve"> </w:t>
      </w:r>
      <w:r>
        <w:t xml:space="preserve">available at</w:t>
      </w:r>
      <w:r>
        <w:t xml:space="preserve"> </w:t>
      </w:r>
      <w:hyperlink r:id="rId41">
        <w:r>
          <w:rPr>
            <w:rStyle w:val="Hyperlink"/>
          </w:rPr>
          <w:t xml:space="preserve">https://authorea.com/users/155758/articles/518298-systematic-review-and-meta-analysis-of-the-effect-of-abo-blood-group-on-the-risk-of-covid-19-infection</w:t>
        </w:r>
      </w:hyperlink>
    </w:p>
    <w:p>
      <w:pPr>
        <w:pStyle w:val="Heading1"/>
      </w:pPr>
      <w:bookmarkStart w:id="42" w:name="references"/>
      <w:bookmarkEnd w:id="42"/>
      <w:r>
        <w:t xml:space="preserve">References</w:t>
      </w:r>
    </w:p>
    <w:p>
      <w:pPr>
        <w:pStyle w:val="FirstParagraph"/>
      </w:pPr>
      <w:r>
        <w:t xml:space="preserve">Abdollahi A, Mahmoudi-Aliabadi M, Mehrtash V, Jafarzadeh B, Salehi M.</w:t>
      </w:r>
      <w:r>
        <w:t xml:space="preserve"> </w:t>
      </w:r>
      <w:r>
        <w:t xml:space="preserve">The Novel Coronavirus SARS-CoV-2 Vulnerability Association with ABO/Rh Blood Types.</w:t>
      </w:r>
      <w:r>
        <w:t xml:space="preserve">. Iran J Pathol. 2020;15:156–60.</w:t>
      </w:r>
    </w:p>
    <w:p>
      <w:pPr>
        <w:pStyle w:val="BodyText"/>
      </w:pPr>
      <w:r>
        <w:t xml:space="preserve">Ad’hiah AH, Allami RH, Mohsin RH, Abdullah MH, AL-Sa’ady AJR, Alsudani MY.</w:t>
      </w:r>
      <w:r>
        <w:t xml:space="preserve"> </w:t>
      </w:r>
      <w:r>
        <w:t xml:space="preserve">Evaluating of the association between</w:t>
      </w:r>
      <w:r>
        <w:t xml:space="preserve"> </w:t>
      </w:r>
      <w:r>
        <w:t xml:space="preserve">ABO</w:t>
      </w:r>
      <w:r>
        <w:t xml:space="preserve"> </w:t>
      </w:r>
      <w:r>
        <w:t xml:space="preserve">blood groups and coronavirus disease 2019 (</w:t>
      </w:r>
      <w:r>
        <w:t xml:space="preserve">COVID</w:t>
      </w:r>
      <w:r>
        <w:t xml:space="preserve">-19) in Iraqi patients</w:t>
      </w:r>
      <w:r>
        <w:t xml:space="preserve">. Egyptian Journal of Medical Human Genetics [Internet]. September 2020;21(1). Available at:</w:t>
      </w:r>
      <w:r>
        <w:t xml:space="preserve"> </w:t>
      </w:r>
      <w:hyperlink r:id="rId43">
        <w:r>
          <w:rPr>
            <w:rStyle w:val="Hyperlink"/>
          </w:rPr>
          <w:t xml:space="preserve">https://doi.org/10.1186%2Fs43042-020-00097-x</w:t>
        </w:r>
      </w:hyperlink>
    </w:p>
    <w:p>
      <w:pPr>
        <w:pStyle w:val="BodyText"/>
      </w:pPr>
      <w:r>
        <w:t xml:space="preserve">Banerjee A, Doxey AC, Mossman K, Irving AT.</w:t>
      </w:r>
      <w:r>
        <w:t xml:space="preserve"> </w:t>
      </w:r>
      <w:r>
        <w:t xml:space="preserve">Unraveling the Zoonotic Origin and Transmission of</w:t>
      </w:r>
      <w:r>
        <w:t xml:space="preserve"> </w:t>
      </w:r>
      <w:r>
        <w:t xml:space="preserve">SARS</w:t>
      </w:r>
      <w:r>
        <w:t xml:space="preserve">-</w:t>
      </w:r>
      <w:r>
        <w:t xml:space="preserve">CoV</w:t>
      </w:r>
      <w:r>
        <w:t xml:space="preserve">-2</w:t>
      </w:r>
      <w:r>
        <w:t xml:space="preserve">. Trends in Ecology</w:t>
      </w:r>
      <w:r>
        <w:t xml:space="preserve"> </w:t>
      </w:r>
      <w:r>
        <w:t xml:space="preserve">&amp;</w:t>
      </w:r>
      <w:r>
        <w:t xml:space="preserve"> </w:t>
      </w:r>
      <w:r>
        <w:t xml:space="preserve">Evolution [Internet]. March 2021;36(3):180–4. Available at:</w:t>
      </w:r>
      <w:r>
        <w:t xml:space="preserve"> </w:t>
      </w:r>
      <w:hyperlink r:id="rId44">
        <w:r>
          <w:rPr>
            <w:rStyle w:val="Hyperlink"/>
          </w:rPr>
          <w:t xml:space="preserve">https://doi.org/10.1016%2Fj.tree.2020.12.002</w:t>
        </w:r>
      </w:hyperlink>
    </w:p>
    <w:p>
      <w:pPr>
        <w:pStyle w:val="BodyText"/>
      </w:pPr>
      <w:r>
        <w:t xml:space="preserve">Barnkob MB, Pottegård A, Støvring H, Haunstrup TM, Homburg K, Larsen R, et al.</w:t>
      </w:r>
      <w:r>
        <w:t xml:space="preserve"> </w:t>
      </w:r>
      <w:r>
        <w:t xml:space="preserve">Reduced prevalence of SARS-CoV-2 infection in ABO blood group O.</w:t>
      </w:r>
      <w:r>
        <w:t xml:space="preserve">. Blood Adv. 2020;4:4990–3.</w:t>
      </w:r>
    </w:p>
    <w:p>
      <w:pPr>
        <w:pStyle w:val="BodyText"/>
      </w:pPr>
      <w:r>
        <w:t xml:space="preserve">Benjamini Y, Hochberg Y.</w:t>
      </w:r>
      <w:r>
        <w:t xml:space="preserve"> </w:t>
      </w:r>
      <w:r>
        <w:t xml:space="preserve">Controlling the False Discovery Rate: A Practical and Powerful Approach to Multiple Testing</w:t>
      </w:r>
      <w:r>
        <w:t xml:space="preserve">. Journal of the Royal Statistical Society: Series B (Methodological) [Internet]. January 1995;57(1):289–300. Available at:</w:t>
      </w:r>
      <w:r>
        <w:t xml:space="preserve"> </w:t>
      </w:r>
      <w:hyperlink r:id="rId45">
        <w:r>
          <w:rPr>
            <w:rStyle w:val="Hyperlink"/>
          </w:rPr>
          <w:t xml:space="preserve">https://doi.org/10.1111%2Fj.2517-6161.1995.tb02031.x</w:t>
        </w:r>
      </w:hyperlink>
    </w:p>
    <w:p>
      <w:pPr>
        <w:pStyle w:val="BodyText"/>
      </w:pPr>
      <w:r>
        <w:t xml:space="preserve">Bhandari P, Durrance RJ, Bhuti P, Salama C.</w:t>
      </w:r>
      <w:r>
        <w:t xml:space="preserve"> </w:t>
      </w:r>
      <w:r>
        <w:t xml:space="preserve">Analysis of ABO and Rh Blood Type Association With Acute COVID-19 Infection in Hospitalized Patients: A Superficial Association Among a Multitude of Established Confounders.</w:t>
      </w:r>
      <w:r>
        <w:t xml:space="preserve">. J Clin Med Res. 2020;12:809–15.</w:t>
      </w:r>
    </w:p>
    <w:p>
      <w:pPr>
        <w:pStyle w:val="BodyText"/>
      </w:pPr>
      <w:r>
        <w:t xml:space="preserve">Boudin L, Janvier F, Bylicki O, Dutasta F.</w:t>
      </w:r>
      <w:r>
        <w:t xml:space="preserve"> </w:t>
      </w:r>
      <w:r>
        <w:t xml:space="preserve">ABO blood groups are not associated with risk of acquiring the SARS-CoV-2 infection in young adults.</w:t>
      </w:r>
      <w:r>
        <w:t xml:space="preserve">. Haematologica. 2020;105:2841–3.</w:t>
      </w:r>
    </w:p>
    <w:p>
      <w:pPr>
        <w:pStyle w:val="BodyText"/>
      </w:pPr>
      <w:r>
        <w:t xml:space="preserve">Chegni H, Pakravan N, Saadati M, Ghaffari AD, Shirzad H, Hassan ZM.</w:t>
      </w:r>
      <w:r>
        <w:t xml:space="preserve"> </w:t>
      </w:r>
      <w:r>
        <w:t xml:space="preserve">Is There a Link between COVID-19 Mortality with Genus, Age, ABO Blood Group Type, and ACE2 Gene Polymorphism?</w:t>
      </w:r>
      <w:r>
        <w:t xml:space="preserve">. Iran J Public Health. 2020;49:1582–4.</w:t>
      </w:r>
    </w:p>
    <w:p>
      <w:pPr>
        <w:pStyle w:val="BodyText"/>
      </w:pPr>
      <w:r>
        <w:t xml:space="preserve">Dzik S, Eliason K, Morris EB, Kaufman RM, North CM.</w:t>
      </w:r>
      <w:r>
        <w:t xml:space="preserve"> </w:t>
      </w:r>
      <w:r>
        <w:t xml:space="preserve">COVID-19 and ABO blood groups.</w:t>
      </w:r>
      <w:r>
        <w:t xml:space="preserve">. Transfusion. 2020;60:1883–4.</w:t>
      </w:r>
    </w:p>
    <w:p>
      <w:pPr>
        <w:pStyle w:val="BodyText"/>
      </w:pPr>
      <w:r>
        <w:t xml:space="preserve">Egger M, Smith GD, Schneider M, Minder C.</w:t>
      </w:r>
      <w:r>
        <w:t xml:space="preserve"> </w:t>
      </w:r>
      <w:r>
        <w:t xml:space="preserve">Bias in meta-analysis detected by a simple graphical test</w:t>
      </w:r>
      <w:r>
        <w:t xml:space="preserve">.</w:t>
      </w:r>
      <w:r>
        <w:t xml:space="preserve"> </w:t>
      </w:r>
      <w:r>
        <w:t xml:space="preserve">BMJ</w:t>
      </w:r>
      <w:r>
        <w:t xml:space="preserve"> </w:t>
      </w:r>
      <w:r>
        <w:t xml:space="preserve">[Internet]. September 1997;315(7109):629–34. Available at:</w:t>
      </w:r>
      <w:r>
        <w:t xml:space="preserve"> </w:t>
      </w:r>
      <w:hyperlink r:id="rId46">
        <w:r>
          <w:rPr>
            <w:rStyle w:val="Hyperlink"/>
          </w:rPr>
          <w:t xml:space="preserve">https://doi.org/10.1136%2Fbmj.315.7109.629</w:t>
        </w:r>
      </w:hyperlink>
    </w:p>
    <w:p>
      <w:pPr>
        <w:pStyle w:val="BodyText"/>
      </w:pPr>
      <w:r>
        <w:t xml:space="preserve">El-Shitany NA, El-Hamamsy M, Alahmadi AA, Eid BG, Neamatallah T, Almukadi HS, et al.</w:t>
      </w:r>
      <w:r>
        <w:t xml:space="preserve"> </w:t>
      </w:r>
      <w:r>
        <w:t xml:space="preserve">The Impact of ABO Blood Grouping on COVID-19 Vulnerability and Seriousness: A Retrospective Cross-Sectional Controlled Study among the Arab Community.</w:t>
      </w:r>
      <w:r>
        <w:t xml:space="preserve">. Int J Environ Res Public Health. 2021;18.</w:t>
      </w:r>
    </w:p>
    <w:p>
      <w:pPr>
        <w:pStyle w:val="BodyText"/>
      </w:pPr>
      <w:r>
        <w:t xml:space="preserve">Fan Q, Zhang W, Li B, Li DJ, Zhang J, Zhao F.</w:t>
      </w:r>
      <w:r>
        <w:t xml:space="preserve"> </w:t>
      </w:r>
      <w:r>
        <w:t xml:space="preserve">Association Between ABO Blood Group System and COVID-19 Susceptibility in Wuhan.</w:t>
      </w:r>
      <w:r>
        <w:t xml:space="preserve">. Front Cell Infect Microbiol. 2020;10:404.</w:t>
      </w:r>
    </w:p>
    <w:p>
      <w:pPr>
        <w:pStyle w:val="BodyText"/>
      </w:pPr>
      <w:r>
        <w:t xml:space="preserve">Franchini M, Glingani C, Fante CD, Capuzzo M, Stasi VD, Rastrelli G, et al.</w:t>
      </w:r>
      <w:r>
        <w:t xml:space="preserve"> </w:t>
      </w:r>
      <w:r>
        <w:t xml:space="preserve">The protective effect of O blood type against</w:t>
      </w:r>
      <w:r>
        <w:t xml:space="preserve"> </w:t>
      </w:r>
      <w:r>
        <w:t xml:space="preserve">SARS</w:t>
      </w:r>
      <w:r>
        <w:t xml:space="preserve">-</w:t>
      </w:r>
      <w:r>
        <w:t xml:space="preserve">CoV</w:t>
      </w:r>
      <w:r>
        <w:t xml:space="preserve">-2 infection</w:t>
      </w:r>
      <w:r>
        <w:t xml:space="preserve">. Vox Sanguinis [Internet]. September 2021;116(2):249–50. Available at:</w:t>
      </w:r>
      <w:r>
        <w:t xml:space="preserve"> </w:t>
      </w:r>
      <w:hyperlink r:id="rId47">
        <w:r>
          <w:rPr>
            <w:rStyle w:val="Hyperlink"/>
          </w:rPr>
          <w:t xml:space="preserve">https://doi.org/10.1111%2Fvox.13003</w:t>
        </w:r>
      </w:hyperlink>
    </w:p>
    <w:p>
      <w:pPr>
        <w:pStyle w:val="BodyText"/>
      </w:pPr>
      <w:r>
        <w:t xml:space="preserve">Gamal N, Villa E, Rolli M, Pecorari M, Mirabella G, Bertellini E, et al.</w:t>
      </w:r>
      <w:r>
        <w:t xml:space="preserve"> </w:t>
      </w:r>
      <w:r>
        <w:t xml:space="preserve">Subjects with blood group O are not at lower risk to acquire SARS-CoV-2 infection.</w:t>
      </w:r>
      <w:r>
        <w:t xml:space="preserve">. Vox Sang. 2021;116:471–2.</w:t>
      </w:r>
    </w:p>
    <w:p>
      <w:pPr>
        <w:pStyle w:val="BodyText"/>
      </w:pPr>
      <w:r>
        <w:t xml:space="preserve">Golinelli D, Boetto E, Maietti E, Fantini MP.</w:t>
      </w:r>
      <w:r>
        <w:t xml:space="preserve"> </w:t>
      </w:r>
      <w:r>
        <w:t xml:space="preserve">The association between ABO blood group and SARS-CoV-2 infection: A meta-analysis.</w:t>
      </w:r>
      <w:r>
        <w:t xml:space="preserve">. PLoS One. 2020;15:e0239508.</w:t>
      </w:r>
    </w:p>
    <w:p>
      <w:pPr>
        <w:pStyle w:val="BodyText"/>
      </w:pPr>
      <w:r>
        <w:t xml:space="preserve">GÖKER H, ALADA</w:t>
      </w:r>
      <w:r>
        <w:t xml:space="preserve">Ğ</w:t>
      </w:r>
      <w:r>
        <w:t xml:space="preserve">-KARAKULAK E, DEM</w:t>
      </w:r>
      <w:r>
        <w:t xml:space="preserve">İ</w:t>
      </w:r>
      <w:r>
        <w:t xml:space="preserve">RO</w:t>
      </w:r>
      <w:r>
        <w:t xml:space="preserve">Ğ</w:t>
      </w:r>
      <w:r>
        <w:t xml:space="preserve">LU H, AYAZ CM, BÜYÜKA</w:t>
      </w:r>
      <w:r>
        <w:t xml:space="preserve">Ş</w:t>
      </w:r>
      <w:r>
        <w:t xml:space="preserve">IK Y,</w:t>
      </w:r>
      <w:r>
        <w:t xml:space="preserve"> </w:t>
      </w:r>
      <w:r>
        <w:t xml:space="preserve">İ</w:t>
      </w:r>
      <w:r>
        <w:t xml:space="preserve">NKAYA AC, et al.</w:t>
      </w:r>
      <w:r>
        <w:t xml:space="preserve"> </w:t>
      </w:r>
      <w:r>
        <w:t xml:space="preserve">The effects of blood group types on the risk of</w:t>
      </w:r>
      <w:r>
        <w:t xml:space="preserve"> </w:t>
      </w:r>
      <w:r>
        <w:t xml:space="preserve">COVID</w:t>
      </w:r>
      <w:r>
        <w:t xml:space="preserve">-19 infection and its clinical outcome</w:t>
      </w:r>
      <w:r>
        <w:t xml:space="preserve">.</w:t>
      </w:r>
      <w:r>
        <w:t xml:space="preserve"> </w:t>
      </w:r>
      <w:r>
        <w:t xml:space="preserve">TURKISH</w:t>
      </w:r>
      <w:r>
        <w:t xml:space="preserve"> </w:t>
      </w:r>
      <w:r>
        <w:t xml:space="preserve">JOURNAL</w:t>
      </w:r>
      <w:r>
        <w:t xml:space="preserve"> </w:t>
      </w:r>
      <w:r>
        <w:t xml:space="preserve">OF</w:t>
      </w:r>
      <w:r>
        <w:t xml:space="preserve"> </w:t>
      </w:r>
      <w:r>
        <w:t xml:space="preserve">MEDICAL</w:t>
      </w:r>
      <w:r>
        <w:t xml:space="preserve"> </w:t>
      </w:r>
      <w:r>
        <w:t xml:space="preserve">SCIENCES</w:t>
      </w:r>
      <w:r>
        <w:t xml:space="preserve"> </w:t>
      </w:r>
      <w:r>
        <w:t xml:space="preserve">[Internet]. June 2020;50(4):679–83. Available at:</w:t>
      </w:r>
      <w:r>
        <w:t xml:space="preserve"> </w:t>
      </w:r>
      <w:hyperlink r:id="rId48">
        <w:r>
          <w:rPr>
            <w:rStyle w:val="Hyperlink"/>
          </w:rPr>
          <w:t xml:space="preserve">https://doi.org/10.3906%2Fsag-2005-395</w:t>
        </w:r>
      </w:hyperlink>
    </w:p>
    <w:p>
      <w:pPr>
        <w:pStyle w:val="BodyText"/>
      </w:pPr>
      <w:r>
        <w:t xml:space="preserve">Hoiland RL, Fergusson NA, Mitra AR, Griesdale DEG, Devine DV, Stukas S, et al.</w:t>
      </w:r>
      <w:r>
        <w:t xml:space="preserve"> </w:t>
      </w:r>
      <w:r>
        <w:t xml:space="preserve">The association of</w:t>
      </w:r>
      <w:r>
        <w:t xml:space="preserve"> </w:t>
      </w:r>
      <w:r>
        <w:t xml:space="preserve">ABO</w:t>
      </w:r>
      <w:r>
        <w:t xml:space="preserve"> </w:t>
      </w:r>
      <w:r>
        <w:t xml:space="preserve">blood group with indices of disease severity and multiorgan dysfunction in</w:t>
      </w:r>
      <w:r>
        <w:t xml:space="preserve"> </w:t>
      </w:r>
      <w:r>
        <w:t xml:space="preserve">COVID</w:t>
      </w:r>
      <w:r>
        <w:t xml:space="preserve">-19</w:t>
      </w:r>
      <w:r>
        <w:t xml:space="preserve">. Blood Advances [Internet]. October 2020;4(20):4981–9. Available at:</w:t>
      </w:r>
      <w:r>
        <w:t xml:space="preserve"> </w:t>
      </w:r>
      <w:hyperlink r:id="rId49">
        <w:r>
          <w:rPr>
            <w:rStyle w:val="Hyperlink"/>
          </w:rPr>
          <w:t xml:space="preserve">https://doi.org/10.1182%2Fbloodadvances.2020002623</w:t>
        </w:r>
      </w:hyperlink>
    </w:p>
    <w:p>
      <w:pPr>
        <w:pStyle w:val="BodyText"/>
      </w:pPr>
      <w:r>
        <w:t xml:space="preserve">Hu B, Guo H, Zhou P, Shi ZL.</w:t>
      </w:r>
      <w:r>
        <w:t xml:space="preserve"> </w:t>
      </w:r>
      <w:r>
        <w:t xml:space="preserve">Characteristics of SARS-CoV-2 and COVID-19.</w:t>
      </w:r>
      <w:r>
        <w:t xml:space="preserve">. Nat Rev Microbiol. 2021;19:141–54.</w:t>
      </w:r>
    </w:p>
    <w:p>
      <w:pPr>
        <w:pStyle w:val="BodyText"/>
      </w:pPr>
      <w:r>
        <w:t xml:space="preserve">IntHout J, Ioannidis JP, Borm GF.</w:t>
      </w:r>
      <w:r>
        <w:t xml:space="preserve"> </w:t>
      </w:r>
      <w:r>
        <w:t xml:space="preserve">The Hartung-Knapp-Sidik-Jonkman method for random effects meta-analysis is straightforward and considerably outperforms the standard DerSimonian-Laird method.</w:t>
      </w:r>
      <w:r>
        <w:t xml:space="preserve">. BMC Med Res Methodol. 2014;14:25.</w:t>
      </w:r>
    </w:p>
    <w:p>
      <w:pPr>
        <w:pStyle w:val="BodyText"/>
      </w:pPr>
      <w:r>
        <w:t xml:space="preserve">IntHout J, Ioannidis JPA, Rovers MM, Goeman JJ.</w:t>
      </w:r>
      <w:r>
        <w:t xml:space="preserve"> </w:t>
      </w:r>
      <w:r>
        <w:t xml:space="preserve">Plea for routinely presenting prediction intervals in meta-analysis</w:t>
      </w:r>
      <w:r>
        <w:t xml:space="preserve">.</w:t>
      </w:r>
      <w:r>
        <w:t xml:space="preserve"> </w:t>
      </w:r>
      <w:r>
        <w:t xml:space="preserve">BMJ</w:t>
      </w:r>
      <w:r>
        <w:t xml:space="preserve"> </w:t>
      </w:r>
      <w:r>
        <w:t xml:space="preserve">Open [Internet]. July 2016;6(7):e010247. Available at:</w:t>
      </w:r>
      <w:r>
        <w:t xml:space="preserve"> </w:t>
      </w:r>
      <w:hyperlink r:id="rId50">
        <w:r>
          <w:rPr>
            <w:rStyle w:val="Hyperlink"/>
          </w:rPr>
          <w:t xml:space="preserve">https://doi.org/10.1136%2Fbmjopen-2015-010247</w:t>
        </w:r>
      </w:hyperlink>
    </w:p>
    <w:p>
      <w:pPr>
        <w:pStyle w:val="BodyText"/>
      </w:pPr>
      <w:r>
        <w:t xml:space="preserve">Khalil A, Feghali R, Hassoun M.</w:t>
      </w:r>
      <w:r>
        <w:t xml:space="preserve"> </w:t>
      </w:r>
      <w:r>
        <w:t xml:space="preserve">The Lebanese COVID-19 Cohort; A Challenge for the ABO Blood Group System.</w:t>
      </w:r>
      <w:r>
        <w:t xml:space="preserve">. Front Med (Lausanne). 2020;7:585341.</w:t>
      </w:r>
    </w:p>
    <w:p>
      <w:pPr>
        <w:pStyle w:val="BodyText"/>
      </w:pPr>
      <w:r>
        <w:t xml:space="preserve">Kibler M, Dietrich L, Kanso M, Carmona A, Marchandot B, Matsushita K, et al.</w:t>
      </w:r>
      <w:r>
        <w:t xml:space="preserve"> </w:t>
      </w:r>
      <w:r>
        <w:t xml:space="preserve">Risk and Severity of COVID-19 and ABO Blood Group in Transcatheter Aortic Valve Patients.</w:t>
      </w:r>
      <w:r>
        <w:t xml:space="preserve">. J Clin Med. 2020;9.</w:t>
      </w:r>
    </w:p>
    <w:p>
      <w:pPr>
        <w:pStyle w:val="BodyText"/>
      </w:pPr>
      <w:r>
        <w:t xml:space="preserve">Liu N, Zhang T, Ma L, Zhang H, Wang H, Wei W, et al.</w:t>
      </w:r>
      <w:r>
        <w:t xml:space="preserve"> </w:t>
      </w:r>
      <w:r>
        <w:t xml:space="preserve">The impact of ABO blood group on COVID-19 infection risk and mortality: A systematic review and meta-analysis.</w:t>
      </w:r>
      <w:r>
        <w:t xml:space="preserve">. Blood Rev. 2020;:100785.</w:t>
      </w:r>
    </w:p>
    <w:p>
      <w:pPr>
        <w:pStyle w:val="BodyText"/>
      </w:pPr>
      <w:r>
        <w:t xml:space="preserve">Muñiz-Diaz E, Llopis J, Parra R, Roig I, Ferrer G, Grifols J, et al.</w:t>
      </w:r>
      <w:r>
        <w:t xml:space="preserve"> </w:t>
      </w:r>
      <w:r>
        <w:t xml:space="preserve">Relationship between the ABO blood group and COVID-19 susceptibility, severity and mortality in two cohorts of patients.</w:t>
      </w:r>
      <w:r>
        <w:t xml:space="preserve">. Blood Transfus. 2021;19:54–63.</w:t>
      </w:r>
    </w:p>
    <w:p>
      <w:pPr>
        <w:pStyle w:val="BodyText"/>
      </w:pPr>
      <w:r>
        <w:t xml:space="preserve">Pal M, Berhanu G, Desalegn C, Kandi V.</w:t>
      </w:r>
      <w:r>
        <w:t xml:space="preserve"> </w:t>
      </w:r>
      <w:r>
        <w:t xml:space="preserve">Severe Acute Respiratory Syndrome Coronavirus-2 (SARS-CoV-2): An Update.</w:t>
      </w:r>
      <w:r>
        <w:t xml:space="preserve">. Cureus. 2020;12:e7423.</w:t>
      </w:r>
    </w:p>
    <w:p>
      <w:pPr>
        <w:pStyle w:val="BodyText"/>
      </w:pPr>
      <w:r>
        <w:t xml:space="preserve">Pillay TS.</w:t>
      </w:r>
      <w:r>
        <w:t xml:space="preserve"> </w:t>
      </w:r>
      <w:r>
        <w:t xml:space="preserve">Gene of the month: the 2019-nCoV/SARS-CoV-2 novel coronavirus spike protein.</w:t>
      </w:r>
      <w:r>
        <w:t xml:space="preserve">. J Clin Pathol. 2020;73:366–9.</w:t>
      </w:r>
    </w:p>
    <w:p>
      <w:pPr>
        <w:pStyle w:val="BodyText"/>
      </w:pPr>
      <w:r>
        <w:t xml:space="preserve">Pourali F, Afshari M, Alizadeh-Navaei R, Javidnia J, Moosazadeh M, Hessami A.</w:t>
      </w:r>
      <w:r>
        <w:t xml:space="preserve"> </w:t>
      </w:r>
      <w:r>
        <w:t xml:space="preserve">Relationship between blood group and risk of infection and death in COVID-19: a live meta-analysis.</w:t>
      </w:r>
      <w:r>
        <w:t xml:space="preserve">. New Microbes New Infect. 2020;37:100743.</w:t>
      </w:r>
    </w:p>
    <w:p>
      <w:pPr>
        <w:pStyle w:val="BodyText"/>
      </w:pPr>
      <w:r>
        <w:t xml:space="preserve">Rahim F, Amin S, Bahadur S, Noor M, Mahmood A, Gul H.</w:t>
      </w:r>
      <w:r>
        <w:t xml:space="preserve"> </w:t>
      </w:r>
      <w:r>
        <w:t xml:space="preserve">ABO</w:t>
      </w:r>
      <w:r>
        <w:t xml:space="preserve"> </w:t>
      </w:r>
      <w:r>
        <w:t xml:space="preserve">/ Rh-D Blood types and susceptibility to Corona Virus Disease-19 in Peshawar Pakistan</w:t>
      </w:r>
      <w:r>
        <w:t xml:space="preserve">. Pakistan Journal of Medical Sciences [Internet]. December 2021;37(1). Available at:</w:t>
      </w:r>
      <w:r>
        <w:t xml:space="preserve"> </w:t>
      </w:r>
      <w:hyperlink r:id="rId51">
        <w:r>
          <w:rPr>
            <w:rStyle w:val="Hyperlink"/>
          </w:rPr>
          <w:t xml:space="preserve">https://doi.org/10.12669%2Fpjms.37.1.3655</w:t>
        </w:r>
      </w:hyperlink>
    </w:p>
    <w:p>
      <w:pPr>
        <w:pStyle w:val="BodyText"/>
      </w:pPr>
      <w:r>
        <w:t xml:space="preserve">Ren LL, Wang YM, Wu ZQ, Xiang ZC, Guo L, Xu T, et al.</w:t>
      </w:r>
      <w:r>
        <w:t xml:space="preserve"> </w:t>
      </w:r>
      <w:r>
        <w:t xml:space="preserve">Identification of a novel coronavirus causing severe pneumonia in human: a descriptive study.</w:t>
      </w:r>
      <w:r>
        <w:t xml:space="preserve">. Chin Med J (Engl). 2020;133:1015–24.</w:t>
      </w:r>
    </w:p>
    <w:p>
      <w:pPr>
        <w:pStyle w:val="BodyText"/>
      </w:pPr>
      <w:r>
        <w:t xml:space="preserve">Schwarzer G, others.</w:t>
      </w:r>
      <w:r>
        <w:t xml:space="preserve"> </w:t>
      </w:r>
      <w:r>
        <w:t xml:space="preserve">meta: An R package for meta-analysis</w:t>
      </w:r>
      <w:r>
        <w:t xml:space="preserve">. R news. 2007;7(3):40–5.</w:t>
      </w:r>
    </w:p>
    <w:p>
      <w:pPr>
        <w:pStyle w:val="BodyText"/>
      </w:pPr>
      <w:r>
        <w:t xml:space="preserve">Solmaz İ, Araç S.</w:t>
      </w:r>
      <w:r>
        <w:t xml:space="preserve"> </w:t>
      </w:r>
      <w:r>
        <w:t xml:space="preserve">ABO blood groups in COVID-19 patients; Cross-sectional study.</w:t>
      </w:r>
      <w:r>
        <w:t xml:space="preserve">. Int J Clin Pract. 2021;75:e13927.</w:t>
      </w:r>
    </w:p>
    <w:p>
      <w:pPr>
        <w:pStyle w:val="BodyText"/>
      </w:pPr>
      <w:r>
        <w:t xml:space="preserve">Su S, Wong G, Shi W, Liu J, Lai ACK, Zhou J, et al.</w:t>
      </w:r>
      <w:r>
        <w:t xml:space="preserve"> </w:t>
      </w:r>
      <w:r>
        <w:t xml:space="preserve">Epidemiology Genetic Recombination, and Pathogenesis of Coronaviruses</w:t>
      </w:r>
      <w:r>
        <w:t xml:space="preserve">. Trends in Microbiology [Internet]. June 2016;24(6):490–502. Available at:</w:t>
      </w:r>
      <w:r>
        <w:t xml:space="preserve"> </w:t>
      </w:r>
      <w:hyperlink r:id="rId52">
        <w:r>
          <w:rPr>
            <w:rStyle w:val="Hyperlink"/>
          </w:rPr>
          <w:t xml:space="preserve">https://doi.org/10.1016%2Fj.tim.2016.03.003</w:t>
        </w:r>
      </w:hyperlink>
    </w:p>
    <w:p>
      <w:pPr>
        <w:pStyle w:val="BodyText"/>
      </w:pPr>
      <w:r>
        <w:t xml:space="preserve">Taha SAH, Osman MEM, Abdoelkarim EAA, Holie MAI, Elbasheir MM, Abuzeid NMK, et al.</w:t>
      </w:r>
      <w:r>
        <w:t xml:space="preserve"> </w:t>
      </w:r>
      <w:r>
        <w:t xml:space="preserve">Individuals with a Rh-positive but not Rh-negative blood group are more vulnerable to</w:t>
      </w:r>
      <w:r>
        <w:t xml:space="preserve"> </w:t>
      </w:r>
      <w:r>
        <w:t xml:space="preserve">SARS</w:t>
      </w:r>
      <w:r>
        <w:t xml:space="preserve">-</w:t>
      </w:r>
      <w:r>
        <w:t xml:space="preserve">CoV</w:t>
      </w:r>
      <w:r>
        <w:t xml:space="preserve">-2 infection: demographics and trend study on</w:t>
      </w:r>
      <w:r>
        <w:t xml:space="preserve"> </w:t>
      </w:r>
      <w:r>
        <w:t xml:space="preserve">COVID</w:t>
      </w:r>
      <w:r>
        <w:t xml:space="preserve">-19 cases in Sudan</w:t>
      </w:r>
      <w:r>
        <w:t xml:space="preserve">. New Microbes and New Infections [Internet]. November 2020;38:100763. Available at:</w:t>
      </w:r>
      <w:r>
        <w:t xml:space="preserve"> </w:t>
      </w:r>
      <w:hyperlink r:id="rId53">
        <w:r>
          <w:rPr>
            <w:rStyle w:val="Hyperlink"/>
          </w:rPr>
          <w:t xml:space="preserve">https://doi.org/10.1016%2Fj.nmni.2020.100763</w:t>
        </w:r>
      </w:hyperlink>
    </w:p>
    <w:p>
      <w:pPr>
        <w:pStyle w:val="BodyText"/>
      </w:pPr>
      <w:r>
        <w:t xml:space="preserve">Valenti L, Villa S, Baselli G, Temporiti R, Bandera A, Scudeller L, et al.</w:t>
      </w:r>
      <w:r>
        <w:t xml:space="preserve"> </w:t>
      </w:r>
      <w:r>
        <w:t xml:space="preserve">Association of ABO blood group and secretor phenotype with severe COVID-19</w:t>
      </w:r>
      <w:r>
        <w:t xml:space="preserve">. October 2020;60(12):3067–70. Available at:</w:t>
      </w:r>
      <w:r>
        <w:t xml:space="preserve"> </w:t>
      </w:r>
      <w:hyperlink r:id="rId54">
        <w:r>
          <w:rPr>
            <w:rStyle w:val="Hyperlink"/>
          </w:rPr>
          <w:t xml:space="preserve">https://doi.org/10.1111%2Ftrf.16130</w:t>
        </w:r>
      </w:hyperlink>
    </w:p>
    <w:p>
      <w:pPr>
        <w:pStyle w:val="BodyText"/>
      </w:pPr>
      <w:r>
        <w:t xml:space="preserve">Wu BB, Gu DZ, Yu JN, Yang J, Shen WQ.</w:t>
      </w:r>
      <w:r>
        <w:t xml:space="preserve"> </w:t>
      </w:r>
      <w:r>
        <w:t xml:space="preserve">Association between ABO blood groups and COVID-19 infection, severity and demise: A systematic review and meta-analysis.</w:t>
      </w:r>
      <w:r>
        <w:t xml:space="preserve">. Infect Genet Evol. 2020;84:104485.</w:t>
      </w:r>
    </w:p>
    <w:p>
      <w:pPr>
        <w:pStyle w:val="BodyText"/>
      </w:pPr>
      <w:r>
        <w:t xml:space="preserve">Wu Y, Feng Z, Li P, Yu Q.</w:t>
      </w:r>
      <w:r>
        <w:t xml:space="preserve"> </w:t>
      </w:r>
      <w:r>
        <w:t xml:space="preserve">Relationship between ABO blood group distribution and clinical characteristics in patients with COVID-19.</w:t>
      </w:r>
      <w:r>
        <w:t xml:space="preserve">. Clin Chim Acta. 2020;509:220–3.</w:t>
      </w:r>
    </w:p>
    <w:p>
      <w:pPr>
        <w:pStyle w:val="BodyText"/>
      </w:pPr>
      <w:r>
        <w:t xml:space="preserve">Ye ZW, Yuan S, Yuen KS, Fung SY, Chan CP, Jin DY.</w:t>
      </w:r>
      <w:r>
        <w:t xml:space="preserve"> </w:t>
      </w:r>
      <w:r>
        <w:t xml:space="preserve">Zoonotic origins of human coronaviruses.</w:t>
      </w:r>
      <w:r>
        <w:t xml:space="preserve">. Int J Biol Sci. 2020;16:1686–97.</w:t>
      </w:r>
    </w:p>
    <w:p>
      <w:pPr>
        <w:pStyle w:val="BodyText"/>
      </w:pPr>
      <w:r>
        <w:t xml:space="preserve">Zalba MS, Antelo ML, Galbete A, Etayo M, Ongay E, García-Erce JA.</w:t>
      </w:r>
      <w:r>
        <w:t xml:space="preserve"> </w:t>
      </w:r>
      <w:r>
        <w:t xml:space="preserve">Infection and thrombosis associated with COVID-19: Possible role of the ABO blood group.</w:t>
      </w:r>
      <w:r>
        <w:t xml:space="preserve">. Med Clin (Engl Ed). 2020;155:340–3.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8fc102f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29" Target="media/rId29.png" /><Relationship Type="http://schemas.openxmlformats.org/officeDocument/2006/relationships/image" Id="rId35" Target="media/rId35.png" /><Relationship Type="http://schemas.openxmlformats.org/officeDocument/2006/relationships/image" Id="rId27" Target="media/rId27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hyperlink" Id="rId41" Target="https://authorea.com/users/155758/articles/518298-systematic-review-and-meta-analysis-of-the-effect-of-abo-blood-group-on-the-risk-of-covid-19-infection" TargetMode="External" /><Relationship Type="http://schemas.openxmlformats.org/officeDocument/2006/relationships/hyperlink" Id="rId53" Target="https://doi.org/10.1016%2Fj.nmni.2020.100763" TargetMode="External" /><Relationship Type="http://schemas.openxmlformats.org/officeDocument/2006/relationships/hyperlink" Id="rId52" Target="https://doi.org/10.1016%2Fj.tim.2016.03.003" TargetMode="External" /><Relationship Type="http://schemas.openxmlformats.org/officeDocument/2006/relationships/hyperlink" Id="rId44" Target="https://doi.org/10.1016%2Fj.tree.2020.12.002" TargetMode="External" /><Relationship Type="http://schemas.openxmlformats.org/officeDocument/2006/relationships/hyperlink" Id="rId45" Target="https://doi.org/10.1111%2Fj.2517-6161.1995.tb02031.x" TargetMode="External" /><Relationship Type="http://schemas.openxmlformats.org/officeDocument/2006/relationships/hyperlink" Id="rId54" Target="https://doi.org/10.1111%2Ftrf.16130" TargetMode="External" /><Relationship Type="http://schemas.openxmlformats.org/officeDocument/2006/relationships/hyperlink" Id="rId47" Target="https://doi.org/10.1111%2Fvox.13003" TargetMode="External" /><Relationship Type="http://schemas.openxmlformats.org/officeDocument/2006/relationships/hyperlink" Id="rId46" Target="https://doi.org/10.1136%2Fbmj.315.7109.629" TargetMode="External" /><Relationship Type="http://schemas.openxmlformats.org/officeDocument/2006/relationships/hyperlink" Id="rId50" Target="https://doi.org/10.1136%2Fbmjopen-2015-010247" TargetMode="External" /><Relationship Type="http://schemas.openxmlformats.org/officeDocument/2006/relationships/hyperlink" Id="rId49" Target="https://doi.org/10.1182%2Fbloodadvances.2020002623" TargetMode="External" /><Relationship Type="http://schemas.openxmlformats.org/officeDocument/2006/relationships/hyperlink" Id="rId43" Target="https://doi.org/10.1186%2Fs43042-020-00097-x" TargetMode="External" /><Relationship Type="http://schemas.openxmlformats.org/officeDocument/2006/relationships/hyperlink" Id="rId51" Target="https://doi.org/10.12669%2Fpjms.37.1.3655" TargetMode="External" /><Relationship Type="http://schemas.openxmlformats.org/officeDocument/2006/relationships/hyperlink" Id="rId48" Target="https://doi.org/10.3906%2Fsag-2005-395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41" Target="https://authorea.com/users/155758/articles/518298-systematic-review-and-meta-analysis-of-the-effect-of-abo-blood-group-on-the-risk-of-covid-19-infection" TargetMode="External" /><Relationship Type="http://schemas.openxmlformats.org/officeDocument/2006/relationships/hyperlink" Id="rId53" Target="https://doi.org/10.1016%2Fj.nmni.2020.100763" TargetMode="External" /><Relationship Type="http://schemas.openxmlformats.org/officeDocument/2006/relationships/hyperlink" Id="rId52" Target="https://doi.org/10.1016%2Fj.tim.2016.03.003" TargetMode="External" /><Relationship Type="http://schemas.openxmlformats.org/officeDocument/2006/relationships/hyperlink" Id="rId44" Target="https://doi.org/10.1016%2Fj.tree.2020.12.002" TargetMode="External" /><Relationship Type="http://schemas.openxmlformats.org/officeDocument/2006/relationships/hyperlink" Id="rId45" Target="https://doi.org/10.1111%2Fj.2517-6161.1995.tb02031.x" TargetMode="External" /><Relationship Type="http://schemas.openxmlformats.org/officeDocument/2006/relationships/hyperlink" Id="rId54" Target="https://doi.org/10.1111%2Ftrf.16130" TargetMode="External" /><Relationship Type="http://schemas.openxmlformats.org/officeDocument/2006/relationships/hyperlink" Id="rId47" Target="https://doi.org/10.1111%2Fvox.13003" TargetMode="External" /><Relationship Type="http://schemas.openxmlformats.org/officeDocument/2006/relationships/hyperlink" Id="rId46" Target="https://doi.org/10.1136%2Fbmj.315.7109.629" TargetMode="External" /><Relationship Type="http://schemas.openxmlformats.org/officeDocument/2006/relationships/hyperlink" Id="rId50" Target="https://doi.org/10.1136%2Fbmjopen-2015-010247" TargetMode="External" /><Relationship Type="http://schemas.openxmlformats.org/officeDocument/2006/relationships/hyperlink" Id="rId49" Target="https://doi.org/10.1182%2Fbloodadvances.2020002623" TargetMode="External" /><Relationship Type="http://schemas.openxmlformats.org/officeDocument/2006/relationships/hyperlink" Id="rId43" Target="https://doi.org/10.1186%2Fs43042-020-00097-x" TargetMode="External" /><Relationship Type="http://schemas.openxmlformats.org/officeDocument/2006/relationships/hyperlink" Id="rId51" Target="https://doi.org/10.12669%2Fpjms.37.1.3655" TargetMode="External" /><Relationship Type="http://schemas.openxmlformats.org/officeDocument/2006/relationships/hyperlink" Id="rId48" Target="https://doi.org/10.3906%2Fsag-2005-395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Systematic review and meta-analysis of the effect of ABO blood group on the risk of COVID-19 infection</dc:title>
  <dc:creator>George Balaouras; Paolo Eusebi; Polychronis Kostoulas</dc:creator>
  <dcterms:created xsi:type="dcterms:W3CDTF">2021-08-24T06:37:08Z</dcterms:created>
  <dcterms:modified xsi:type="dcterms:W3CDTF">2021-08-24T06:37:08Z</dcterms:modified>
</cp:coreProperties>
</file>