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Mirek</w:t>
      </w:r>
      <w:r>
        <w:t xml:space="preserve"> </w:t>
      </w:r>
      <w:r>
        <w:t xml:space="preserve">Latka</w:t>
      </w:r>
    </w:p>
    <w:p>
      <w:pPr>
        <w:pStyle w:val="FirstParagraph"/>
      </w:pPr>
      <w:r>
        <w:t xml:space="preserve">Test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2</m:t>
            </m:r>
          </m:sub>
          <m:sup>
            <m:r>
              <m:t>2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(Taniguchi, Peper, and Shimokawa 2018)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Taniguchi, S., F. Peper, and T. Shimokawa. 2018.</w:t>
      </w:r>
      <w:r>
        <w:t xml:space="preserve"> </w:t>
      </w:r>
      <w:r>
        <w:t xml:space="preserve">“</w:t>
      </w:r>
      <w:r>
        <w:t xml:space="preserve">A Comparison of Cognition and Toe Tapping Speed Regulation Ability in Parkinson’s Disease Patients: a Pilot Study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Parkinsonism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Related Disorders</w:t>
      </w:r>
      <w:r>
        <w:t xml:space="preserve"> </w:t>
      </w:r>
      <w:r>
        <w:t xml:space="preserve">46 (January). Elsevier</w:t>
      </w:r>
      <w:r>
        <w:t xml:space="preserve"> </w:t>
      </w:r>
      <w:r>
        <w:t xml:space="preserve">BV</w:t>
      </w:r>
      <w:r>
        <w:t xml:space="preserve">: e50. doi:10.1016/j.parkreldis.2017.11.171.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d49110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Mirek Latka</dc:creator>
  <dcterms:created xsi:type="dcterms:W3CDTF">2018-03-06T12:34:48Z</dcterms:created>
  <dcterms:modified xsi:type="dcterms:W3CDTF">2018-03-06T12:34:48Z</dcterms:modified>
</cp:coreProperties>
</file>