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Paper</w:t>
      </w:r>
      <w:r>
        <w:t xml:space="preserve"> </w:t>
      </w:r>
      <w:r>
        <w:t xml:space="preserve">review for</w:t>
      </w:r>
      <w:r>
        <w:t xml:space="preserve"> </w:t>
      </w:r>
      <w:r>
        <w:t xml:space="preserve">the</w:t>
      </w:r>
      <w:r>
        <w:t xml:space="preserve"> </w:t>
      </w:r>
      <w:r>
        <w:t xml:space="preserve">Policy</w:t>
      </w:r>
      <w:r>
        <w:t xml:space="preserve"> </w:t>
      </w:r>
      <w:r>
        <w:t xml:space="preserve">Studies</w:t>
      </w:r>
      <w:r>
        <w:t xml:space="preserve"> </w:t>
      </w:r>
      <w:r>
        <w:t xml:space="preserve">Journal</w:t>
      </w:r>
      <w:r>
        <w:t xml:space="preserve"> </w:t>
      </w:r>
      <w:r>
        <w:t xml:space="preserve">PSJ-17-SIP-0266</w:t>
      </w:r>
    </w:p>
    <w:p>
      <w:pPr>
        <w:pStyle w:val="Author"/>
      </w:pPr>
      <w:r>
        <w:t xml:space="preserve">Paúl</w:t>
      </w:r>
      <w:r>
        <w:t xml:space="preserve"> </w:t>
      </w:r>
      <w:r>
        <w:t xml:space="preserve">Cisneros</w:t>
      </w:r>
    </w:p>
    <w:p>
      <w:pPr>
        <w:pStyle w:val="FirstParagraph"/>
      </w:pPr>
      <w:r>
        <w:t xml:space="preserve">This is a good paper that uses the Ecology of Games Framework (EGF) to</w:t>
      </w:r>
      <w:r>
        <w:t xml:space="preserve"> </w:t>
      </w:r>
      <w:r>
        <w:t xml:space="preserve">study participation and power asymmetries in the water governance</w:t>
      </w:r>
      <w:r>
        <w:t xml:space="preserve"> </w:t>
      </w:r>
      <w:r>
        <w:t xml:space="preserve">forums.  It is interesting to see more applications of the EGF in the</w:t>
      </w:r>
      <w:r>
        <w:t xml:space="preserve"> </w:t>
      </w:r>
      <w:r>
        <w:t xml:space="preserve">global South, particularly in South American countries. The manuscript</w:t>
      </w:r>
      <w:r>
        <w:t xml:space="preserve"> </w:t>
      </w:r>
      <w:r>
        <w:t xml:space="preserve">includes a pertinent review of the literature, an appropriate discussion</w:t>
      </w:r>
      <w:r>
        <w:t xml:space="preserve"> </w:t>
      </w:r>
      <w:r>
        <w:t xml:space="preserve">of the methods used and a very clear and well-rounded discussion or</w:t>
      </w:r>
      <w:r>
        <w:t xml:space="preserve"> </w:t>
      </w:r>
      <w:r>
        <w:t xml:space="preserve">results. However, the manuscript needs some clarifications to strengthen</w:t>
      </w:r>
      <w:r>
        <w:t xml:space="preserve"> </w:t>
      </w:r>
      <w:r>
        <w:t xml:space="preserve">the main arguments; therefore, my recommendation to revise and resubmit.</w:t>
      </w:r>
      <w:r>
        <w:t xml:space="preserve"> </w:t>
      </w:r>
      <w:r>
        <w:t xml:space="preserve">I offer a few suggestions on how to improve specific sections. I also</w:t>
      </w:r>
      <w:r>
        <w:t xml:space="preserve"> </w:t>
      </w:r>
      <w:r>
        <w:t xml:space="preserve">present some questions that arose during my review of the paper that I</w:t>
      </w:r>
      <w:r>
        <w:t xml:space="preserve"> </w:t>
      </w:r>
      <w:r>
        <w:t xml:space="preserve">consider worth discussing in the final version. Finally, I offer some</w:t>
      </w:r>
      <w:r>
        <w:t xml:space="preserve"> </w:t>
      </w:r>
      <w:r>
        <w:t xml:space="preserve">suggestions to fix minor problems with the format.</w:t>
      </w:r>
    </w:p>
    <w:p>
      <w:pPr>
        <w:pStyle w:val="BodyText"/>
      </w:pPr>
      <w:r>
        <w:t xml:space="preserve">Authors situate their research within the Ecology of Games literature</w:t>
      </w:r>
      <w:r>
        <w:t xml:space="preserve"> </w:t>
      </w:r>
      <w:r>
        <w:t xml:space="preserve">successfully. Authors announce their application of the EGF is</w:t>
      </w:r>
      <w:r>
        <w:t xml:space="preserve"> </w:t>
      </w:r>
      <w:r>
        <w:t xml:space="preserve">innovative since it studies a phenomenon in the global South. However,</w:t>
      </w:r>
      <w:r>
        <w:t xml:space="preserve"> </w:t>
      </w:r>
      <w:r>
        <w:t xml:space="preserve">in order to make this argument more convincing, and perhaps contributing</w:t>
      </w:r>
      <w:r>
        <w:t xml:space="preserve"> </w:t>
      </w:r>
      <w:r>
        <w:t xml:space="preserve">to North-South discussions, authors could make an effort to comment on</w:t>
      </w:r>
      <w:r>
        <w:t xml:space="preserve"> </w:t>
      </w:r>
      <w:r>
        <w:t xml:space="preserve">how their research offers a more nuanced view of earlier findings on the</w:t>
      </w:r>
      <w:r>
        <w:t xml:space="preserve"> </w:t>
      </w:r>
      <w:r>
        <w:t xml:space="preserve">composition of water management committees in Brazil. A review of the</w:t>
      </w:r>
      <w:r>
        <w:t xml:space="preserve"> </w:t>
      </w:r>
      <w:r>
        <w:t xml:space="preserve">articles by Abers (Abers and Keck 2004; Keck and Abers 2004; Abers and Keck 2009)(Tankha and Fuller 2010), Tankha and</w:t>
      </w:r>
      <w:r>
        <w:t xml:space="preserve"> </w:t>
      </w:r>
      <w:r>
        <w:t xml:space="preserve">Fuller (Tankha and Fuller 2010), Ioris ((Ioris, Hunter, and Walker 2008)),</w:t>
      </w:r>
      <w:r>
        <w:t xml:space="preserve"> </w:t>
      </w:r>
      <w:r>
        <w:t xml:space="preserve">and (Brannstrom 2004), may be helpful. In these pieces, authors argue</w:t>
      </w:r>
      <w:r>
        <w:t xml:space="preserve"> </w:t>
      </w:r>
      <w:r>
        <w:t xml:space="preserve">that participatory water committees can indeed offer opportunities to</w:t>
      </w:r>
      <w:r>
        <w:t xml:space="preserve"> </w:t>
      </w:r>
      <w:r>
        <w:t xml:space="preserve">change power asymmetries, especially if participants develop a specific</w:t>
      </w:r>
      <w:r>
        <w:t xml:space="preserve"> </w:t>
      </w:r>
      <w:r>
        <w:t xml:space="preserve">identity that allows framing collective action with a river basin</w:t>
      </w:r>
      <w:r>
        <w:t xml:space="preserve"> </w:t>
      </w:r>
      <w:r>
        <w:t xml:space="preserve">perspective. Other pieces that are influential for discussions on IWRM</w:t>
      </w:r>
      <w:r>
        <w:t xml:space="preserve"> </w:t>
      </w:r>
      <w:r>
        <w:t xml:space="preserve">and power asymmetries in the global South include</w:t>
      </w:r>
      <w:r>
        <w:t xml:space="preserve"> </w:t>
      </w:r>
      <w:r>
        <w:t xml:space="preserve">Biswas (Biswas 2008; Biswas 2004; Biswas 2008) and Tortajada (Gopalakrishnan, Biswas, and Tortajada 2005). </w:t>
      </w:r>
    </w:p>
    <w:p>
      <w:pPr>
        <w:pStyle w:val="BodyText"/>
      </w:pPr>
      <w:r>
        <w:t xml:space="preserve">The article has a very suggestive title; deconstructing power</w:t>
      </w:r>
      <w:r>
        <w:t xml:space="preserve"> </w:t>
      </w:r>
      <w:r>
        <w:t xml:space="preserve">asymmetries. The second part of the title suggests that by understanding</w:t>
      </w:r>
      <w:r>
        <w:t xml:space="preserve"> </w:t>
      </w:r>
      <w:r>
        <w:t xml:space="preserve">the perceived level of influence one can know more about how power</w:t>
      </w:r>
      <w:r>
        <w:t xml:space="preserve"> </w:t>
      </w:r>
      <w:r>
        <w:t xml:space="preserve">asymmetries operate. However, the article does not go very far in this</w:t>
      </w:r>
      <w:r>
        <w:t xml:space="preserve"> </w:t>
      </w:r>
      <w:r>
        <w:t xml:space="preserve">regard. For once, a central element in the EGF is the connection of the</w:t>
      </w:r>
      <w:r>
        <w:t xml:space="preserve"> </w:t>
      </w:r>
      <w:r>
        <w:t xml:space="preserve">multiple structures of governance with real and perceived policy</w:t>
      </w:r>
      <w:r>
        <w:t xml:space="preserve"> </w:t>
      </w:r>
      <w:r>
        <w:t xml:space="preserve">outcomes (Lubell 2013). If we agree that water management</w:t>
      </w:r>
      <w:r>
        <w:t xml:space="preserve"> </w:t>
      </w:r>
      <w:r>
        <w:t xml:space="preserve">committees are created to deal with problems that require collective</w:t>
      </w:r>
      <w:r>
        <w:t xml:space="preserve"> </w:t>
      </w:r>
      <w:r>
        <w:t xml:space="preserve">action, then it will be mainly in the measurement of positive outcomes</w:t>
      </w:r>
      <w:r>
        <w:t xml:space="preserve"> </w:t>
      </w:r>
      <w:r>
        <w:t xml:space="preserve">for those with relatively less power, that we will find strong</w:t>
      </w:r>
      <w:r>
        <w:t xml:space="preserve"> </w:t>
      </w:r>
      <w:r>
        <w:t xml:space="preserve">indications that participation reduces power asymmetries. Additionally,</w:t>
      </w:r>
      <w:r>
        <w:t xml:space="preserve"> </w:t>
      </w:r>
      <w:r>
        <w:t xml:space="preserve">if researchers cannot discard that the high perceived levels of</w:t>
      </w:r>
      <w:r>
        <w:t xml:space="preserve"> </w:t>
      </w:r>
      <w:r>
        <w:t xml:space="preserve">influence of less powerful actors are produced by the strategies</w:t>
      </w:r>
      <w:r>
        <w:t xml:space="preserve"> </w:t>
      </w:r>
      <w:r>
        <w:t xml:space="preserve">powerful actors use to select the composition of committees and the</w:t>
      </w:r>
      <w:r>
        <w:t xml:space="preserve"> </w:t>
      </w:r>
      <w:r>
        <w:t xml:space="preserve">roles assigned in these committees, then there seems to be only weak</w:t>
      </w:r>
      <w:r>
        <w:t xml:space="preserve"> </w:t>
      </w:r>
      <w:r>
        <w:t xml:space="preserve">evidence that less powerful actors can change existing asymmetries. On</w:t>
      </w:r>
      <w:r>
        <w:t xml:space="preserve"> </w:t>
      </w:r>
      <w:r>
        <w:t xml:space="preserve">page 24, authors argue that elite capture is not likely because the</w:t>
      </w:r>
      <w:r>
        <w:t xml:space="preserve"> </w:t>
      </w:r>
      <w:r>
        <w:t xml:space="preserve">perceptions of influence that actors have of others, does not</w:t>
      </w:r>
      <w:r>
        <w:t xml:space="preserve"> </w:t>
      </w:r>
      <w:r>
        <w:t xml:space="preserve">necessarily favor governments and organized users with resources. The</w:t>
      </w:r>
      <w:r>
        <w:t xml:space="preserve"> </w:t>
      </w:r>
      <w:r>
        <w:t xml:space="preserve">fact that the forums under study offer opportunities for newcomers to</w:t>
      </w:r>
      <w:r>
        <w:t xml:space="preserve"> </w:t>
      </w:r>
      <w:r>
        <w:t xml:space="preserve">become influential, or that actors who have spent the most time in the</w:t>
      </w:r>
      <w:r>
        <w:t xml:space="preserve"> </w:t>
      </w:r>
      <w:r>
        <w:t xml:space="preserve">committee are not the most influential, does not necessarily discard</w:t>
      </w:r>
      <w:r>
        <w:t xml:space="preserve"> </w:t>
      </w:r>
      <w:r>
        <w:t xml:space="preserve">elite capture. Elites can still filter who enters the committee, they</w:t>
      </w:r>
      <w:r>
        <w:t xml:space="preserve"> </w:t>
      </w:r>
      <w:r>
        <w:t xml:space="preserve">could even assign roles, and still weaker actors could develop positive</w:t>
      </w:r>
      <w:r>
        <w:t xml:space="preserve"> </w:t>
      </w:r>
      <w:r>
        <w:t xml:space="preserve">perceptions of their influence. This is somewhat confirmed by the fact</w:t>
      </w:r>
      <w:r>
        <w:t xml:space="preserve"> </w:t>
      </w:r>
      <w:r>
        <w:t xml:space="preserve">that some powerful actors can overrule committees decisions if they deem</w:t>
      </w:r>
      <w:r>
        <w:t xml:space="preserve"> </w:t>
      </w:r>
      <w:r>
        <w:t xml:space="preserve">necessary during a crisis (See pg. 23). In conclusion, authors should</w:t>
      </w:r>
      <w:r>
        <w:t xml:space="preserve"> </w:t>
      </w:r>
      <w:r>
        <w:t xml:space="preserve">develop a stronger counter-argument against the elite capture</w:t>
      </w:r>
      <w:r>
        <w:t xml:space="preserve"> </w:t>
      </w:r>
      <w:r>
        <w:t xml:space="preserve">hypothesis.</w:t>
      </w:r>
    </w:p>
    <w:p>
      <w:pPr>
        <w:pStyle w:val="BodyText"/>
      </w:pPr>
      <w:r>
        <w:br w:type="textWrapping"/>
      </w:r>
      <w:r>
        <w:t xml:space="preserve">In the methods section, authors discuss the sample used in the analysis.</w:t>
      </w:r>
      <w:r>
        <w:t xml:space="preserve"> </w:t>
      </w:r>
      <w:r>
        <w:t xml:space="preserve">Although 93% response rate sounds great, readers don’t know the total</w:t>
      </w:r>
      <w:r>
        <w:t xml:space="preserve"> </w:t>
      </w:r>
      <w:r>
        <w:t xml:space="preserve">number of people involved in these forums. If 45 people were included in</w:t>
      </w:r>
      <w:r>
        <w:t xml:space="preserve"> </w:t>
      </w:r>
      <w:r>
        <w:t xml:space="preserve">the sample, how many people participate in the forums in total?</w:t>
      </w:r>
      <w:r>
        <w:t xml:space="preserve"> </w:t>
      </w:r>
      <w:r>
        <w:t xml:space="preserve">Additionally, I recommend introducing a note about who was left out of</w:t>
      </w:r>
      <w:r>
        <w:t xml:space="preserve"> </w:t>
      </w:r>
      <w:r>
        <w:t xml:space="preserve">this sample and why. It will be of particular interest for readers to</w:t>
      </w:r>
      <w:r>
        <w:t xml:space="preserve"> </w:t>
      </w:r>
      <w:r>
        <w:t xml:space="preserve">know what kind of actors excluded themselves from the study and to know</w:t>
      </w:r>
      <w:r>
        <w:t xml:space="preserve"> </w:t>
      </w:r>
      <w:r>
        <w:t xml:space="preserve">more about the profile of those who have not attended at least two of</w:t>
      </w:r>
      <w:r>
        <w:t xml:space="preserve"> </w:t>
      </w:r>
      <w:r>
        <w:t xml:space="preserve">the last six plenary meetings. Were they powerful actors or not? If they</w:t>
      </w:r>
      <w:r>
        <w:t xml:space="preserve"> </w:t>
      </w:r>
      <w:r>
        <w:t xml:space="preserve">were not, could the study be leaving those with less power</w:t>
      </w:r>
      <w:r>
        <w:t xml:space="preserve"> </w:t>
      </w:r>
      <w:r>
        <w:t xml:space="preserve">underrepresented? The same section is missing a specification about the</w:t>
      </w:r>
      <w:r>
        <w:t xml:space="preserve"> </w:t>
      </w:r>
      <w:r>
        <w:t xml:space="preserve">number of coders that intervened in the thematic analysis. How were</w:t>
      </w:r>
      <w:r>
        <w:t xml:space="preserve"> </w:t>
      </w:r>
      <w:r>
        <w:t xml:space="preserve">issues of intercoder reliability handled? This is of particular</w:t>
      </w:r>
      <w:r>
        <w:t xml:space="preserve"> </w:t>
      </w:r>
      <w:r>
        <w:t xml:space="preserve">importance since interviews were likely conducted in Portuguese. Were</w:t>
      </w:r>
      <w:r>
        <w:t xml:space="preserve"> </w:t>
      </w:r>
      <w:r>
        <w:t xml:space="preserve">translations of interviews used at all?</w:t>
      </w:r>
    </w:p>
    <w:p>
      <w:pPr>
        <w:pStyle w:val="BodyText"/>
      </w:pPr>
      <w:r>
        <w:br w:type="textWrapping"/>
      </w:r>
      <w:r>
        <w:t xml:space="preserve">The case under study shows some very particular characteristics, such as</w:t>
      </w:r>
      <w:r>
        <w:t xml:space="preserve"> </w:t>
      </w:r>
      <w:r>
        <w:t xml:space="preserve">the size of the cities served by the watershed, the relative power of</w:t>
      </w:r>
      <w:r>
        <w:t xml:space="preserve"> </w:t>
      </w:r>
      <w:r>
        <w:t xml:space="preserve">the state governments, the years of operation in the committee. However,</w:t>
      </w:r>
      <w:r>
        <w:t xml:space="preserve"> </w:t>
      </w:r>
      <w:r>
        <w:t xml:space="preserve">the discussion and conclusion sections do not tackle issues of</w:t>
      </w:r>
      <w:r>
        <w:t xml:space="preserve"> </w:t>
      </w:r>
      <w:r>
        <w:t xml:space="preserve">generalizability of results to other contexts in the global South.</w:t>
      </w:r>
    </w:p>
    <w:p>
      <w:pPr>
        <w:pStyle w:val="BodyText"/>
      </w:pPr>
      <w:r>
        <w:br w:type="textWrapping"/>
      </w:r>
      <w:r>
        <w:t xml:space="preserve">When authors contrast their findings with those of Mewhirter et al.,</w:t>
      </w:r>
      <w:r>
        <w:t xml:space="preserve"> </w:t>
      </w:r>
      <w:r>
        <w:t xml:space="preserve">authors emphasize the importance of considering the context where water</w:t>
      </w:r>
      <w:r>
        <w:t xml:space="preserve"> </w:t>
      </w:r>
      <w:r>
        <w:t xml:space="preserve">partnerships operate. However, the characterization of the context where</w:t>
      </w:r>
      <w:r>
        <w:t xml:space="preserve"> </w:t>
      </w:r>
      <w:r>
        <w:t xml:space="preserve">the research took place lacks some relevent information. Can we assume</w:t>
      </w:r>
      <w:r>
        <w:t xml:space="preserve"> </w:t>
      </w:r>
      <w:r>
        <w:t xml:space="preserve">that data collection occurred in a typical year for these institutions?</w:t>
      </w:r>
      <w:r>
        <w:t xml:space="preserve"> </w:t>
      </w:r>
      <w:r>
        <w:t xml:space="preserve">Was this context free of major environmental, political, or economic</w:t>
      </w:r>
      <w:r>
        <w:t xml:space="preserve"> </w:t>
      </w:r>
      <w:r>
        <w:t xml:space="preserve">disturbances that could modify the interpretation of the results?</w:t>
      </w:r>
    </w:p>
    <w:p>
      <w:pPr>
        <w:pStyle w:val="BodyText"/>
      </w:pPr>
      <w:r>
        <w:br w:type="textWrapping"/>
      </w:r>
      <w:r>
        <w:t xml:space="preserve">In page 11 authors present information about the different roles that</w:t>
      </w:r>
      <w:r>
        <w:t xml:space="preserve"> </w:t>
      </w:r>
      <w:r>
        <w:t xml:space="preserve">members could have in the committee. Could differences in the roles</w:t>
      </w:r>
      <w:r>
        <w:t xml:space="preserve"> </w:t>
      </w:r>
      <w:r>
        <w:t xml:space="preserve">actors assume influence the perception of influence others have of them?</w:t>
      </w:r>
      <w:r>
        <w:t xml:space="preserve"> </w:t>
      </w:r>
      <w:r>
        <w:t xml:space="preserve"> Could these roles explain their centrality scores using other measures</w:t>
      </w:r>
      <w:r>
        <w:t xml:space="preserve"> </w:t>
      </w:r>
      <w:r>
        <w:t xml:space="preserve">than degree centrality?</w:t>
      </w:r>
    </w:p>
    <w:p>
      <w:pPr>
        <w:pStyle w:val="BodyText"/>
      </w:pPr>
      <w:r>
        <w:t xml:space="preserve">Other specific suggestions:</w:t>
      </w:r>
    </w:p>
    <w:p>
      <w:pPr>
        <w:pStyle w:val="BodyText"/>
      </w:pPr>
      <w:r>
        <w:t xml:space="preserve">Reduce the passive voices in the abstract to construct stronger phrases</w:t>
      </w:r>
      <w:r>
        <w:t xml:space="preserve"> </w:t>
      </w:r>
      <w:r>
        <w:t xml:space="preserve">and arguments.</w:t>
      </w:r>
    </w:p>
    <w:p>
      <w:pPr>
        <w:pStyle w:val="BodyText"/>
      </w:pPr>
      <w:r>
        <w:t xml:space="preserve">In page 9, replace influent by influential right before presenting</w:t>
      </w:r>
      <w:r>
        <w:t xml:space="preserve"> </w:t>
      </w:r>
      <w:r>
        <w:t xml:space="preserve">hypothesis 7.</w:t>
      </w:r>
    </w:p>
    <w:p>
      <w:pPr>
        <w:pStyle w:val="BodyText"/>
      </w:pPr>
      <w:r>
        <w:t xml:space="preserve">Need a better map of the study sit. The map presented in Figure 1 is not</w:t>
      </w:r>
      <w:r>
        <w:t xml:space="preserve"> </w:t>
      </w:r>
      <w:r>
        <w:t xml:space="preserve">clear enough.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Abers, Rebecca, and Margaret Keck. 2004.</w:t>
      </w:r>
      <w:r>
        <w:t xml:space="preserve"> </w:t>
      </w:r>
      <w:r>
        <w:t xml:space="preserve">“</w:t>
      </w:r>
      <w:r>
        <w:t xml:space="preserve">Comit</w:t>
      </w:r>
      <w:r>
        <w:t xml:space="preserve">ê</w:t>
      </w:r>
      <w:r>
        <w:t xml:space="preserve">s De Bacia No Brasil: Uma Abordagem Pol</w:t>
      </w:r>
      <w:r>
        <w:t xml:space="preserve">í</w:t>
      </w:r>
      <w:r>
        <w:t xml:space="preserve">Tica No Estudo Da Participa</w:t>
      </w:r>
      <w:r>
        <w:t xml:space="preserve">ç</w:t>
      </w:r>
      <w:r>
        <w:t xml:space="preserve">ã</w:t>
      </w:r>
      <w:r>
        <w:t xml:space="preserve">o Social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Brasileira De Estudos Urbanos e Regionais</w:t>
      </w:r>
      <w:r>
        <w:t xml:space="preserve"> </w:t>
      </w:r>
      <w:r>
        <w:t xml:space="preserve">6 (1). Revista Brasileira de Estudos Urbanos e Regionais (</w:t>
      </w:r>
      <w:r>
        <w:t xml:space="preserve">RBEUR</w:t>
      </w:r>
      <w:r>
        <w:t xml:space="preserve">): 55. doi:10.22296/2317-1529.2004v6n1p55.</w:t>
      </w:r>
    </w:p>
    <w:p>
      <w:pPr>
        <w:pStyle w:val="BodyText"/>
      </w:pPr>
      <w:r>
        <w:t xml:space="preserve">Keck, Margaret, and Rebecca Abers. 2004.</w:t>
      </w:r>
      <w:r>
        <w:t xml:space="preserve"> </w:t>
      </w:r>
      <w:r>
        <w:t xml:space="preserve">“</w:t>
      </w:r>
      <w:r>
        <w:t xml:space="preserve">Running Water Participatory Management in Brazil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NACLA</w:t>
      </w:r>
      <w:r>
        <w:rPr>
          <w:i/>
        </w:rPr>
        <w:t xml:space="preserve"> </w:t>
      </w:r>
      <w:r>
        <w:rPr>
          <w:i/>
        </w:rPr>
        <w:t xml:space="preserve">Report on the Americas</w:t>
      </w:r>
      <w:r>
        <w:t xml:space="preserve"> </w:t>
      </w:r>
      <w:r>
        <w:t xml:space="preserve">38 (1).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29–42. doi:10.1080/10714839.2004.11724516.</w:t>
      </w:r>
    </w:p>
    <w:p>
      <w:pPr>
        <w:pStyle w:val="BodyText"/>
      </w:pPr>
      <w:r>
        <w:t xml:space="preserve">Abers, Rebecca Neaera, and Margaret E. Keck. 2009.</w:t>
      </w:r>
      <w:r>
        <w:t xml:space="preserve"> </w:t>
      </w:r>
      <w:r>
        <w:t xml:space="preserve">“</w:t>
      </w:r>
      <w:r>
        <w:t xml:space="preserve">Mobilizing the State: The Erratic Partner in Brazils Participatory Water Policy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Politics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Society</w:t>
      </w:r>
      <w:r>
        <w:t xml:space="preserve"> </w:t>
      </w:r>
      <w:r>
        <w:t xml:space="preserve">37 (2).</w:t>
      </w:r>
      <w:r>
        <w:t xml:space="preserve"> </w:t>
      </w:r>
      <w:r>
        <w:t xml:space="preserve">SAGE</w:t>
      </w:r>
      <w:r>
        <w:t xml:space="preserve"> </w:t>
      </w:r>
      <w:r>
        <w:t xml:space="preserve">Publications: 289–314. doi:10.1177/0032329209334003.</w:t>
      </w:r>
    </w:p>
    <w:p>
      <w:pPr>
        <w:pStyle w:val="BodyText"/>
      </w:pPr>
      <w:r>
        <w:t xml:space="preserve">Tankha, Sunil, and Boyd Fuller. 2010.</w:t>
      </w:r>
      <w:r>
        <w:t xml:space="preserve"> </w:t>
      </w:r>
      <w:r>
        <w:t xml:space="preserve">“</w:t>
      </w:r>
      <w:r>
        <w:t xml:space="preserve">Getting Things Done: Bureaucratic and Entrepreneurial Approaches to the Practice of Participatory Water Management Reforms in Brazil and India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Water Policy</w:t>
      </w:r>
      <w:r>
        <w:t xml:space="preserve"> </w:t>
      </w:r>
      <w:r>
        <w:t xml:space="preserve">12 (S1).</w:t>
      </w:r>
      <w:r>
        <w:t xml:space="preserve"> </w:t>
      </w:r>
      <w:r>
        <w:t xml:space="preserve">IWA</w:t>
      </w:r>
      <w:r>
        <w:t xml:space="preserve"> </w:t>
      </w:r>
      <w:r>
        <w:t xml:space="preserve">Publishing: 84. doi:10.2166/wp.2010.015.</w:t>
      </w:r>
    </w:p>
    <w:p>
      <w:pPr>
        <w:pStyle w:val="BodyText"/>
      </w:pPr>
      <w:r>
        <w:t xml:space="preserve">Ioris, Antonio A.R., Colin Hunter, and Susan Walker. 2008.</w:t>
      </w:r>
      <w:r>
        <w:t xml:space="preserve"> </w:t>
      </w:r>
      <w:r>
        <w:t xml:space="preserve">“</w:t>
      </w:r>
      <w:r>
        <w:t xml:space="preserve">The Development and Application of Water Management Sustainability Indicators in Brazil and Scotland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Environmental Management</w:t>
      </w:r>
      <w:r>
        <w:t xml:space="preserve"> </w:t>
      </w:r>
      <w:r>
        <w:t xml:space="preserve">88 (4). Elsevier</w:t>
      </w:r>
      <w:r>
        <w:t xml:space="preserve"> </w:t>
      </w:r>
      <w:r>
        <w:t xml:space="preserve">BV</w:t>
      </w:r>
      <w:r>
        <w:t xml:space="preserve">: 1190–1201. doi:10.1016/j.jenvman.2007.06.007.</w:t>
      </w:r>
    </w:p>
    <w:p>
      <w:pPr>
        <w:pStyle w:val="BodyText"/>
      </w:pPr>
      <w:r>
        <w:t xml:space="preserve">Brannstrom, Christian. 2004.</w:t>
      </w:r>
      <w:r>
        <w:t xml:space="preserve"> </w:t>
      </w:r>
      <w:r>
        <w:t xml:space="preserve">“</w:t>
      </w:r>
      <w:r>
        <w:t xml:space="preserve">Decentralising Water Resource Management in Brazil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European Journal of Development Research</w:t>
      </w:r>
      <w:r>
        <w:t xml:space="preserve"> </w:t>
      </w:r>
      <w:r>
        <w:t xml:space="preserve">16 (1). Springer Nature: 214–34. doi:10.1080/09578810410001688815.</w:t>
      </w:r>
    </w:p>
    <w:p>
      <w:pPr>
        <w:pStyle w:val="BodyText"/>
      </w:pPr>
      <w:r>
        <w:t xml:space="preserve">Biswas, Asit K. 2008.</w:t>
      </w:r>
      <w:r>
        <w:t xml:space="preserve"> </w:t>
      </w:r>
      <w:r>
        <w:t xml:space="preserve">“</w:t>
      </w:r>
      <w:r>
        <w:t xml:space="preserve">Current Directions: Integrated Water Resources Management a Second Look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Water International</w:t>
      </w:r>
      <w:r>
        <w:t xml:space="preserve"> </w:t>
      </w:r>
      <w:r>
        <w:t xml:space="preserve">33 (3).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274–78. doi:10.1080/02508060802272812.</w:t>
      </w:r>
    </w:p>
    <w:p>
      <w:pPr>
        <w:pStyle w:val="BodyText"/>
      </w:pPr>
      <w:r>
        <w:t xml:space="preserve">———. 2004.</w:t>
      </w:r>
      <w:r>
        <w:t xml:space="preserve"> </w:t>
      </w:r>
      <w:r>
        <w:t xml:space="preserve">“</w:t>
      </w:r>
      <w:r>
        <w:t xml:space="preserve">Integrated Water Resources Management: A Reassessment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Water International</w:t>
      </w:r>
      <w:r>
        <w:t xml:space="preserve"> </w:t>
      </w:r>
      <w:r>
        <w:t xml:space="preserve">29 (2).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248–56. doi:10.1080/02508060408691775.</w:t>
      </w:r>
    </w:p>
    <w:p>
      <w:pPr>
        <w:pStyle w:val="BodyText"/>
      </w:pPr>
      <w:r>
        <w:t xml:space="preserve">———. 2008.</w:t>
      </w:r>
      <w:r>
        <w:t xml:space="preserve"> </w:t>
      </w:r>
      <w:r>
        <w:t xml:space="preserve">“</w:t>
      </w:r>
      <w:r>
        <w:t xml:space="preserve">Integrated Water Resources Management: Is It Working?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Water Resources Development</w:t>
      </w:r>
      <w:r>
        <w:t xml:space="preserve"> </w:t>
      </w:r>
      <w:r>
        <w:t xml:space="preserve">24 (1).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5–22. doi:10.1080/07900620701871718.</w:t>
      </w:r>
    </w:p>
    <w:p>
      <w:pPr>
        <w:pStyle w:val="BodyText"/>
      </w:pPr>
      <w:r>
        <w:rPr>
          <w:i/>
        </w:rPr>
        <w:t xml:space="preserve">Water Institutions: Policies Performance and Prospects</w:t>
      </w:r>
      <w:r>
        <w:t xml:space="preserve">. 2005. Springer-Verlag. doi:10.1007/b137821.</w:t>
      </w:r>
    </w:p>
    <w:p>
      <w:pPr>
        <w:pStyle w:val="BodyText"/>
      </w:pPr>
      <w:r>
        <w:t xml:space="preserve">Lubell, Mark. 2013.</w:t>
      </w:r>
      <w:r>
        <w:t xml:space="preserve"> </w:t>
      </w:r>
      <w:r>
        <w:t xml:space="preserve">“</w:t>
      </w:r>
      <w:r>
        <w:t xml:space="preserve">Governing Institutional Complexity: The Ecology of Games Framework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Policy Studies Journal</w:t>
      </w:r>
      <w:r>
        <w:t xml:space="preserve"> </w:t>
      </w:r>
      <w:r>
        <w:t xml:space="preserve">41 (3). Wiley-Blackwell: 537–59. doi:10.1111/psj.12028.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11062e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review for the Policy Studies Journal PSJ-17-SIP-0266</dc:title>
  <dc:creator>Paúl Cisneros</dc:creator>
  <dcterms:created xsi:type="dcterms:W3CDTF">2018-02-26T04:16:18Z</dcterms:created>
  <dcterms:modified xsi:type="dcterms:W3CDTF">2018-02-26T04:16:18Z</dcterms:modified>
</cp:coreProperties>
</file>